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CB5F3" w14:textId="77777777" w:rsidR="007F6F56" w:rsidRPr="0078532E" w:rsidRDefault="007F6F56" w:rsidP="007F6F56">
      <w:pPr>
        <w:rPr>
          <w:rFonts w:cs="Arial"/>
        </w:rPr>
      </w:pPr>
    </w:p>
    <w:p w14:paraId="2DFCDB9C" w14:textId="77777777" w:rsidR="007F6F56" w:rsidRPr="00CC5FE4" w:rsidRDefault="007F6F56" w:rsidP="007F6F56">
      <w:pPr>
        <w:spacing w:before="120" w:after="120"/>
        <w:rPr>
          <w:rFonts w:ascii="Georgia" w:hAnsi="Georgia" w:cs="Arial"/>
          <w:b/>
          <w:sz w:val="48"/>
          <w:szCs w:val="48"/>
        </w:rPr>
      </w:pPr>
      <w:r w:rsidRPr="00CC5FE4">
        <w:rPr>
          <w:rFonts w:ascii="Georgia" w:hAnsi="Georgia" w:cs="Arial"/>
          <w:b/>
          <w:sz w:val="48"/>
          <w:szCs w:val="48"/>
        </w:rPr>
        <w:t>Minutes</w:t>
      </w:r>
      <w:r w:rsidRPr="00CC5FE4">
        <w:rPr>
          <w:rFonts w:ascii="Georgia" w:hAnsi="Georgia" w:cs="Arial"/>
          <w:b/>
          <w:sz w:val="48"/>
          <w:szCs w:val="48"/>
        </w:rPr>
        <w:tab/>
      </w:r>
      <w:r w:rsidRPr="00CC5FE4">
        <w:rPr>
          <w:rFonts w:ascii="Georgia" w:hAnsi="Georgia" w:cs="Arial"/>
          <w:b/>
          <w:sz w:val="48"/>
          <w:szCs w:val="48"/>
        </w:rPr>
        <w:tab/>
      </w:r>
      <w:r w:rsidRPr="00CC5FE4">
        <w:rPr>
          <w:rFonts w:ascii="Georgia" w:hAnsi="Georgia" w:cs="Arial"/>
          <w:b/>
          <w:sz w:val="48"/>
          <w:szCs w:val="48"/>
        </w:rPr>
        <w:tab/>
      </w:r>
      <w:r w:rsidRPr="00CC5FE4">
        <w:rPr>
          <w:rFonts w:ascii="Georgia" w:hAnsi="Georgia" w:cs="Arial"/>
          <w:b/>
          <w:sz w:val="48"/>
          <w:szCs w:val="48"/>
        </w:rPr>
        <w:tab/>
      </w:r>
      <w:r w:rsidRPr="00CC5FE4">
        <w:rPr>
          <w:rFonts w:ascii="Georgia" w:hAnsi="Georgia" w:cs="Arial"/>
          <w:b/>
          <w:sz w:val="48"/>
          <w:szCs w:val="48"/>
        </w:rPr>
        <w:tab/>
      </w:r>
      <w:r w:rsidRPr="00CC5FE4">
        <w:rPr>
          <w:rFonts w:ascii="Georgia" w:hAnsi="Georgia" w:cs="Arial"/>
          <w:b/>
          <w:sz w:val="48"/>
          <w:szCs w:val="48"/>
        </w:rPr>
        <w:tab/>
      </w:r>
      <w:r w:rsidRPr="00CC5FE4">
        <w:rPr>
          <w:rFonts w:ascii="Georgia" w:hAnsi="Georgia" w:cs="Arial"/>
          <w:b/>
          <w:sz w:val="48"/>
          <w:szCs w:val="48"/>
        </w:rPr>
        <w:tab/>
      </w:r>
      <w:r w:rsidRPr="00CC5FE4">
        <w:rPr>
          <w:rFonts w:ascii="Georgia" w:hAnsi="Georgia" w:cs="Arial"/>
          <w:b/>
          <w:sz w:val="48"/>
          <w:szCs w:val="48"/>
        </w:rPr>
        <w:tab/>
      </w:r>
      <w:r w:rsidRPr="00CC5FE4">
        <w:rPr>
          <w:rFonts w:ascii="Georgia" w:hAnsi="Georgia" w:cs="Arial"/>
          <w:b/>
          <w:sz w:val="48"/>
          <w:szCs w:val="48"/>
        </w:rPr>
        <w:tab/>
      </w:r>
      <w:r w:rsidRPr="00CC5FE4">
        <w:rPr>
          <w:rFonts w:ascii="Georgia" w:hAnsi="Georgia" w:cs="Arial"/>
          <w:noProof/>
          <w:lang w:eastAsia="en-NZ"/>
        </w:rPr>
        <w:drawing>
          <wp:inline distT="0" distB="0" distL="0" distR="0" wp14:anchorId="31EF76EF" wp14:editId="4AB27A5A">
            <wp:extent cx="990600" cy="485775"/>
            <wp:effectExtent l="0" t="0" r="0" b="9525"/>
            <wp:docPr id="1" name="Picture 1" descr="27510 MOH word template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510 MOH word template mast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0" t="43289" r="79724" b="11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5FE4">
        <w:rPr>
          <w:rFonts w:ascii="Georgia" w:hAnsi="Georgia" w:cs="Arial"/>
          <w:b/>
          <w:sz w:val="48"/>
          <w:szCs w:val="48"/>
        </w:rPr>
        <w:tab/>
      </w:r>
    </w:p>
    <w:p w14:paraId="5881A937" w14:textId="77777777" w:rsidR="007F6F56" w:rsidRPr="00CC5FE4" w:rsidRDefault="007F6F56" w:rsidP="007F6F56">
      <w:pPr>
        <w:spacing w:before="120" w:after="120"/>
        <w:rPr>
          <w:rFonts w:ascii="Georgia" w:hAnsi="Georgia" w:cs="Arial"/>
          <w:b/>
          <w:sz w:val="48"/>
          <w:szCs w:val="48"/>
        </w:rPr>
      </w:pPr>
      <w:r w:rsidRPr="00CC5FE4">
        <w:rPr>
          <w:rFonts w:ascii="Georgia" w:hAnsi="Georgia" w:cs="Arial"/>
          <w:b/>
          <w:sz w:val="48"/>
          <w:szCs w:val="48"/>
        </w:rPr>
        <w:t>Expert Advisory Committee on Drugs meeting</w:t>
      </w:r>
      <w:bookmarkStart w:id="0" w:name="_GoBack"/>
      <w:bookmarkEnd w:id="0"/>
    </w:p>
    <w:tbl>
      <w:tblPr>
        <w:tblStyle w:val="TableGrid"/>
        <w:tblW w:w="10050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0"/>
        <w:gridCol w:w="8460"/>
      </w:tblGrid>
      <w:tr w:rsidR="007F6F56" w:rsidRPr="00CC5FE4" w14:paraId="23A27BC5" w14:textId="77777777" w:rsidTr="00AB5BE7">
        <w:trPr>
          <w:cantSplit/>
        </w:trPr>
        <w:tc>
          <w:tcPr>
            <w:tcW w:w="159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01459001" w14:textId="77777777" w:rsidR="007F6F56" w:rsidRPr="00CC5FE4" w:rsidRDefault="007F6F56" w:rsidP="00AB5BE7">
            <w:pPr>
              <w:pStyle w:val="TableText"/>
              <w:rPr>
                <w:rFonts w:ascii="Arial" w:hAnsi="Arial" w:cs="Arial"/>
                <w:b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Date: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64B234DA" w14:textId="77777777" w:rsidR="007F6F56" w:rsidRPr="00CC5FE4" w:rsidRDefault="00383E84" w:rsidP="00383E84">
            <w:pPr>
              <w:pStyle w:val="TableText"/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Wednesday </w:t>
            </w:r>
            <w:r w:rsidR="007A5876" w:rsidRPr="00CC5FE4">
              <w:rPr>
                <w:rFonts w:ascii="Arial" w:hAnsi="Arial" w:cs="Arial"/>
                <w:sz w:val="24"/>
              </w:rPr>
              <w:t>27 April 2016</w:t>
            </w:r>
          </w:p>
        </w:tc>
      </w:tr>
      <w:tr w:rsidR="007F6F56" w:rsidRPr="00CC5FE4" w14:paraId="096EECBE" w14:textId="77777777" w:rsidTr="00AB5BE7">
        <w:trPr>
          <w:cantSplit/>
        </w:trPr>
        <w:tc>
          <w:tcPr>
            <w:tcW w:w="159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2B72FB13" w14:textId="77777777" w:rsidR="007F6F56" w:rsidRPr="00CC5FE4" w:rsidRDefault="007F6F56" w:rsidP="00AB5BE7">
            <w:pPr>
              <w:pStyle w:val="TableText"/>
              <w:rPr>
                <w:rFonts w:ascii="Arial" w:hAnsi="Arial" w:cs="Arial"/>
                <w:b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Time: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516DED1" w14:textId="77777777" w:rsidR="007F6F56" w:rsidRPr="00CC5FE4" w:rsidRDefault="007F6F56" w:rsidP="00AB5BE7">
            <w:pPr>
              <w:pStyle w:val="TableText"/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10am - 3pm</w:t>
            </w:r>
          </w:p>
        </w:tc>
      </w:tr>
      <w:tr w:rsidR="007F6F56" w:rsidRPr="00CC5FE4" w14:paraId="3F5BA777" w14:textId="77777777" w:rsidTr="00AB5BE7">
        <w:trPr>
          <w:cantSplit/>
        </w:trPr>
        <w:tc>
          <w:tcPr>
            <w:tcW w:w="159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7F7CEF64" w14:textId="77777777" w:rsidR="007F6F56" w:rsidRPr="00CC5FE4" w:rsidRDefault="007F6F56" w:rsidP="00AB5BE7">
            <w:pPr>
              <w:pStyle w:val="TableText"/>
              <w:rPr>
                <w:rFonts w:ascii="Arial" w:hAnsi="Arial" w:cs="Arial"/>
                <w:b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Location: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76F8BC45" w14:textId="77777777" w:rsidR="007F6F56" w:rsidRPr="00CC5FE4" w:rsidRDefault="005247A1" w:rsidP="007A5876">
            <w:pPr>
              <w:pStyle w:val="TableText"/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The </w:t>
            </w:r>
            <w:r w:rsidR="007A5876" w:rsidRPr="00CC5FE4">
              <w:rPr>
                <w:rFonts w:ascii="Arial" w:hAnsi="Arial" w:cs="Arial"/>
                <w:sz w:val="24"/>
              </w:rPr>
              <w:t>Viscount Room</w:t>
            </w:r>
            <w:r w:rsidR="00383E84" w:rsidRPr="00CC5FE4">
              <w:rPr>
                <w:rFonts w:ascii="Arial" w:hAnsi="Arial" w:cs="Arial"/>
                <w:sz w:val="24"/>
              </w:rPr>
              <w:t>, Wellington Airpo</w:t>
            </w:r>
            <w:r w:rsidR="00923A6E" w:rsidRPr="00CC5FE4">
              <w:rPr>
                <w:rFonts w:ascii="Arial" w:hAnsi="Arial" w:cs="Arial"/>
                <w:sz w:val="24"/>
              </w:rPr>
              <w:t>rt Conference Centre, Level 2, M</w:t>
            </w:r>
            <w:r w:rsidR="00383E84" w:rsidRPr="00CC5FE4">
              <w:rPr>
                <w:rFonts w:ascii="Arial" w:hAnsi="Arial" w:cs="Arial"/>
                <w:sz w:val="24"/>
              </w:rPr>
              <w:t>ain Terminal Building, Wellington International Airport</w:t>
            </w:r>
          </w:p>
        </w:tc>
      </w:tr>
      <w:tr w:rsidR="007F6F56" w:rsidRPr="00CC5FE4" w14:paraId="1F5C4932" w14:textId="77777777" w:rsidTr="00AB5BE7">
        <w:trPr>
          <w:cantSplit/>
        </w:trPr>
        <w:tc>
          <w:tcPr>
            <w:tcW w:w="159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3A345892" w14:textId="77777777" w:rsidR="007F6F56" w:rsidRPr="00CC5FE4" w:rsidRDefault="007F6F56" w:rsidP="00AB5BE7">
            <w:pPr>
              <w:pStyle w:val="TableText"/>
              <w:rPr>
                <w:rFonts w:ascii="Arial" w:hAnsi="Arial" w:cs="Arial"/>
                <w:b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Chair: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536B8CD" w14:textId="77777777" w:rsidR="007F6F56" w:rsidRPr="00CC5FE4" w:rsidRDefault="00383E84" w:rsidP="00AB5BE7">
            <w:pPr>
              <w:pStyle w:val="TableText"/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Associate Professor Cynthia Darlington</w:t>
            </w:r>
          </w:p>
        </w:tc>
      </w:tr>
      <w:tr w:rsidR="007F6F56" w:rsidRPr="00CC5FE4" w14:paraId="55CD9C6B" w14:textId="77777777" w:rsidTr="00AB5BE7">
        <w:trPr>
          <w:cantSplit/>
        </w:trPr>
        <w:tc>
          <w:tcPr>
            <w:tcW w:w="159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3270C9E6" w14:textId="77777777" w:rsidR="007F6F56" w:rsidRPr="00CC5FE4" w:rsidRDefault="007F6F56" w:rsidP="00AB5BE7">
            <w:pPr>
              <w:pStyle w:val="TableText"/>
              <w:ind w:right="-86"/>
              <w:rPr>
                <w:rFonts w:ascii="Arial" w:hAnsi="Arial" w:cs="Arial"/>
                <w:b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Attendees: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2BFE4204" w14:textId="77777777" w:rsidR="00383E84" w:rsidRPr="00CC5FE4" w:rsidRDefault="00383E84" w:rsidP="00383E84">
            <w:pPr>
              <w:pStyle w:val="TableText"/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Committee </w:t>
            </w:r>
            <w:r w:rsidR="002313C2" w:rsidRPr="00CC5FE4">
              <w:rPr>
                <w:rFonts w:ascii="Arial" w:hAnsi="Arial" w:cs="Arial"/>
                <w:sz w:val="24"/>
              </w:rPr>
              <w:t>–</w:t>
            </w:r>
            <w:r w:rsidRPr="00CC5FE4">
              <w:rPr>
                <w:rFonts w:ascii="Arial" w:hAnsi="Arial" w:cs="Arial"/>
                <w:sz w:val="24"/>
              </w:rPr>
              <w:t xml:space="preserve"> </w:t>
            </w:r>
            <w:r w:rsidR="002313C2" w:rsidRPr="00CC5FE4">
              <w:rPr>
                <w:rFonts w:ascii="Arial" w:hAnsi="Arial" w:cs="Arial"/>
                <w:sz w:val="24"/>
              </w:rPr>
              <w:t xml:space="preserve">Associate Professor </w:t>
            </w:r>
            <w:r w:rsidRPr="00CC5FE4">
              <w:rPr>
                <w:rFonts w:ascii="Arial" w:hAnsi="Arial" w:cs="Arial"/>
                <w:sz w:val="24"/>
              </w:rPr>
              <w:t>Cynthia Darlington</w:t>
            </w:r>
            <w:r w:rsidR="00026BF6" w:rsidRPr="00CC5FE4">
              <w:rPr>
                <w:rFonts w:ascii="Arial" w:hAnsi="Arial" w:cs="Arial"/>
                <w:sz w:val="24"/>
              </w:rPr>
              <w:t xml:space="preserve"> (</w:t>
            </w:r>
            <w:r w:rsidR="005E0564" w:rsidRPr="00CC5FE4">
              <w:rPr>
                <w:rFonts w:ascii="Arial" w:hAnsi="Arial" w:cs="Arial"/>
                <w:sz w:val="24"/>
              </w:rPr>
              <w:t>C</w:t>
            </w:r>
            <w:r w:rsidR="00026BF6" w:rsidRPr="00CC5FE4">
              <w:rPr>
                <w:rFonts w:ascii="Arial" w:hAnsi="Arial" w:cs="Arial"/>
                <w:sz w:val="24"/>
              </w:rPr>
              <w:t>hair)</w:t>
            </w:r>
            <w:r w:rsidR="007A5876" w:rsidRPr="00CC5FE4">
              <w:rPr>
                <w:rFonts w:ascii="Arial" w:hAnsi="Arial" w:cs="Arial"/>
                <w:sz w:val="24"/>
              </w:rPr>
              <w:t xml:space="preserve">, Hannah </w:t>
            </w:r>
            <w:proofErr w:type="spellStart"/>
            <w:r w:rsidR="007A5876" w:rsidRPr="00CC5FE4">
              <w:rPr>
                <w:rFonts w:ascii="Arial" w:hAnsi="Arial" w:cs="Arial"/>
                <w:sz w:val="24"/>
              </w:rPr>
              <w:t>Partington</w:t>
            </w:r>
            <w:proofErr w:type="spellEnd"/>
            <w:r w:rsidR="007A5876" w:rsidRPr="00CC5FE4">
              <w:rPr>
                <w:rFonts w:ascii="Arial" w:hAnsi="Arial" w:cs="Arial"/>
                <w:sz w:val="24"/>
              </w:rPr>
              <w:t xml:space="preserve"> (on behalf of </w:t>
            </w:r>
            <w:r w:rsidR="002313C2" w:rsidRPr="00CC5FE4">
              <w:rPr>
                <w:rFonts w:ascii="Arial" w:hAnsi="Arial" w:cs="Arial"/>
                <w:sz w:val="24"/>
              </w:rPr>
              <w:t xml:space="preserve">Dr </w:t>
            </w:r>
            <w:r w:rsidR="007A5876" w:rsidRPr="00CC5FE4">
              <w:rPr>
                <w:rFonts w:ascii="Arial" w:hAnsi="Arial" w:cs="Arial"/>
                <w:sz w:val="24"/>
              </w:rPr>
              <w:t>Keith Bedford)</w:t>
            </w:r>
            <w:r w:rsidRPr="00CC5FE4">
              <w:rPr>
                <w:rFonts w:ascii="Arial" w:hAnsi="Arial" w:cs="Arial"/>
                <w:sz w:val="24"/>
              </w:rPr>
              <w:t>,</w:t>
            </w:r>
            <w:r w:rsidR="007A5876" w:rsidRPr="00CC5FE4">
              <w:rPr>
                <w:rFonts w:ascii="Arial" w:hAnsi="Arial" w:cs="Arial"/>
                <w:sz w:val="24"/>
              </w:rPr>
              <w:t xml:space="preserve"> </w:t>
            </w:r>
            <w:r w:rsidR="002313C2" w:rsidRPr="00CC5FE4">
              <w:rPr>
                <w:rFonts w:ascii="Arial" w:hAnsi="Arial" w:cs="Arial"/>
                <w:sz w:val="24"/>
              </w:rPr>
              <w:t xml:space="preserve">Detective Superintendent </w:t>
            </w:r>
            <w:r w:rsidR="007A5876" w:rsidRPr="00CC5FE4">
              <w:rPr>
                <w:rFonts w:ascii="Arial" w:hAnsi="Arial" w:cs="Arial"/>
                <w:sz w:val="24"/>
              </w:rPr>
              <w:t>Gregory Williams</w:t>
            </w:r>
            <w:r w:rsidRPr="00CC5FE4">
              <w:rPr>
                <w:rFonts w:ascii="Arial" w:hAnsi="Arial" w:cs="Arial"/>
                <w:sz w:val="24"/>
              </w:rPr>
              <w:t>, Richard Schmidt</w:t>
            </w:r>
            <w:r w:rsidR="007A5876" w:rsidRPr="00CC5FE4">
              <w:rPr>
                <w:rFonts w:ascii="Arial" w:hAnsi="Arial" w:cs="Arial"/>
                <w:sz w:val="24"/>
              </w:rPr>
              <w:t xml:space="preserve">, </w:t>
            </w:r>
            <w:r w:rsidRPr="00CC5FE4">
              <w:rPr>
                <w:rFonts w:ascii="Arial" w:hAnsi="Arial" w:cs="Arial"/>
                <w:sz w:val="24"/>
              </w:rPr>
              <w:t>Lynette Knox</w:t>
            </w:r>
            <w:r w:rsidR="007A5876" w:rsidRPr="00CC5FE4">
              <w:rPr>
                <w:rFonts w:ascii="Arial" w:hAnsi="Arial" w:cs="Arial"/>
                <w:sz w:val="24"/>
              </w:rPr>
              <w:t xml:space="preserve">, </w:t>
            </w:r>
            <w:r w:rsidR="002313C2" w:rsidRPr="00CC5FE4">
              <w:rPr>
                <w:rFonts w:ascii="Arial" w:hAnsi="Arial" w:cs="Arial"/>
                <w:sz w:val="24"/>
              </w:rPr>
              <w:t xml:space="preserve">Dr </w:t>
            </w:r>
            <w:r w:rsidR="007A5876" w:rsidRPr="00CC5FE4">
              <w:rPr>
                <w:rFonts w:ascii="Arial" w:hAnsi="Arial" w:cs="Arial"/>
                <w:sz w:val="24"/>
              </w:rPr>
              <w:t xml:space="preserve">Stewart </w:t>
            </w:r>
            <w:proofErr w:type="spellStart"/>
            <w:r w:rsidR="007A5876" w:rsidRPr="00CC5FE4">
              <w:rPr>
                <w:rFonts w:ascii="Arial" w:hAnsi="Arial" w:cs="Arial"/>
                <w:sz w:val="24"/>
              </w:rPr>
              <w:t>Jessamine</w:t>
            </w:r>
            <w:proofErr w:type="spellEnd"/>
            <w:r w:rsidR="007A5876" w:rsidRPr="00CC5FE4">
              <w:rPr>
                <w:rFonts w:ascii="Arial" w:hAnsi="Arial" w:cs="Arial"/>
                <w:sz w:val="24"/>
              </w:rPr>
              <w:t xml:space="preserve">, Jamie </w:t>
            </w:r>
            <w:proofErr w:type="spellStart"/>
            <w:r w:rsidR="007A5876" w:rsidRPr="00CC5FE4">
              <w:rPr>
                <w:rFonts w:ascii="Arial" w:hAnsi="Arial" w:cs="Arial"/>
                <w:sz w:val="24"/>
              </w:rPr>
              <w:t>Bamford</w:t>
            </w:r>
            <w:proofErr w:type="spellEnd"/>
            <w:r w:rsidR="00C20DAA" w:rsidRPr="00CC5FE4">
              <w:rPr>
                <w:rFonts w:ascii="Arial" w:hAnsi="Arial" w:cs="Arial"/>
                <w:sz w:val="24"/>
              </w:rPr>
              <w:t>, Dr Vicki Macfarlane</w:t>
            </w:r>
          </w:p>
          <w:p w14:paraId="5437558A" w14:textId="77777777" w:rsidR="00383E84" w:rsidRPr="00CC5FE4" w:rsidRDefault="007A5876" w:rsidP="00383E84">
            <w:pPr>
              <w:pStyle w:val="TableText"/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Observers – Sharon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Woollaston</w:t>
            </w:r>
            <w:proofErr w:type="spellEnd"/>
            <w:r w:rsidR="001F3A17" w:rsidRPr="00CC5FE4">
              <w:rPr>
                <w:rFonts w:ascii="Arial" w:hAnsi="Arial" w:cs="Arial"/>
                <w:sz w:val="24"/>
              </w:rPr>
              <w:t>, Sue Scott</w:t>
            </w:r>
          </w:p>
          <w:p w14:paraId="69D970E9" w14:textId="77777777" w:rsidR="007F6F56" w:rsidRPr="00CC5FE4" w:rsidRDefault="00383E84" w:rsidP="007A5876">
            <w:pPr>
              <w:pStyle w:val="TableText"/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Secretariat </w:t>
            </w:r>
            <w:r w:rsidR="007A5876" w:rsidRPr="00CC5FE4">
              <w:rPr>
                <w:rFonts w:ascii="Arial" w:hAnsi="Arial" w:cs="Arial"/>
                <w:sz w:val="24"/>
              </w:rPr>
              <w:t>–</w:t>
            </w:r>
            <w:r w:rsidRPr="00CC5FE4">
              <w:rPr>
                <w:rFonts w:ascii="Arial" w:hAnsi="Arial" w:cs="Arial"/>
                <w:sz w:val="24"/>
              </w:rPr>
              <w:t xml:space="preserve"> </w:t>
            </w:r>
            <w:r w:rsidR="007A5876" w:rsidRPr="00CC5FE4">
              <w:rPr>
                <w:rFonts w:ascii="Arial" w:hAnsi="Arial" w:cs="Arial"/>
                <w:sz w:val="24"/>
              </w:rPr>
              <w:t xml:space="preserve">Alison </w:t>
            </w:r>
            <w:proofErr w:type="spellStart"/>
            <w:r w:rsidR="007A5876" w:rsidRPr="00CC5FE4">
              <w:rPr>
                <w:rFonts w:ascii="Arial" w:hAnsi="Arial" w:cs="Arial"/>
                <w:sz w:val="24"/>
              </w:rPr>
              <w:t>Cossar</w:t>
            </w:r>
            <w:proofErr w:type="spellEnd"/>
            <w:r w:rsidR="007A5876" w:rsidRPr="00CC5FE4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7A5876" w:rsidRPr="00CC5FE4">
              <w:rPr>
                <w:rFonts w:ascii="Arial" w:hAnsi="Arial" w:cs="Arial"/>
                <w:sz w:val="24"/>
              </w:rPr>
              <w:t>Vidhiya</w:t>
            </w:r>
            <w:proofErr w:type="spellEnd"/>
            <w:r w:rsidR="007A5876" w:rsidRPr="00CC5FE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7A5876" w:rsidRPr="00CC5FE4">
              <w:rPr>
                <w:rFonts w:ascii="Arial" w:hAnsi="Arial" w:cs="Arial"/>
                <w:sz w:val="24"/>
              </w:rPr>
              <w:t>Damodaran</w:t>
            </w:r>
            <w:proofErr w:type="spellEnd"/>
            <w:r w:rsidR="007A5876" w:rsidRPr="00CC5FE4">
              <w:rPr>
                <w:rFonts w:ascii="Arial" w:hAnsi="Arial" w:cs="Arial"/>
                <w:sz w:val="24"/>
              </w:rPr>
              <w:t>, Fraser Colson</w:t>
            </w:r>
            <w:r w:rsidRPr="00CC5FE4">
              <w:rPr>
                <w:rFonts w:ascii="Arial" w:hAnsi="Arial" w:cs="Arial"/>
                <w:sz w:val="24"/>
              </w:rPr>
              <w:t>, Cherish Low (minutes)</w:t>
            </w:r>
          </w:p>
        </w:tc>
      </w:tr>
      <w:tr w:rsidR="007F6F56" w:rsidRPr="00CC5FE4" w14:paraId="36485E19" w14:textId="77777777" w:rsidTr="00AB5BE7">
        <w:trPr>
          <w:cantSplit/>
        </w:trPr>
        <w:tc>
          <w:tcPr>
            <w:tcW w:w="1590" w:type="dxa"/>
            <w:tcBorders>
              <w:top w:val="single" w:sz="12" w:space="0" w:color="auto"/>
              <w:bottom w:val="single" w:sz="2" w:space="0" w:color="auto"/>
              <w:right w:val="nil"/>
            </w:tcBorders>
          </w:tcPr>
          <w:p w14:paraId="4BF6A5CA" w14:textId="77777777" w:rsidR="007F6F56" w:rsidRPr="00CC5FE4" w:rsidRDefault="007F6F56" w:rsidP="00AB5BE7">
            <w:pPr>
              <w:pStyle w:val="TableText"/>
              <w:rPr>
                <w:rFonts w:ascii="Arial" w:hAnsi="Arial" w:cs="Arial"/>
                <w:b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Apologies:</w:t>
            </w:r>
          </w:p>
        </w:tc>
        <w:tc>
          <w:tcPr>
            <w:tcW w:w="8460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504305F5" w14:textId="77777777" w:rsidR="007F6F56" w:rsidRPr="00CC5FE4" w:rsidRDefault="002313C2" w:rsidP="00553EC9">
            <w:pPr>
              <w:pStyle w:val="TableText"/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Dr </w:t>
            </w:r>
            <w:proofErr w:type="spellStart"/>
            <w:r w:rsidR="007A5876" w:rsidRPr="00CC5FE4">
              <w:rPr>
                <w:rFonts w:ascii="Arial" w:hAnsi="Arial" w:cs="Arial"/>
                <w:sz w:val="24"/>
              </w:rPr>
              <w:t>Jaki</w:t>
            </w:r>
            <w:proofErr w:type="spellEnd"/>
            <w:r w:rsidR="007A5876" w:rsidRPr="00CC5FE4">
              <w:rPr>
                <w:rFonts w:ascii="Arial" w:hAnsi="Arial" w:cs="Arial"/>
                <w:sz w:val="24"/>
              </w:rPr>
              <w:t xml:space="preserve"> Horn, </w:t>
            </w:r>
            <w:r w:rsidRPr="00CC5FE4">
              <w:rPr>
                <w:rFonts w:ascii="Arial" w:hAnsi="Arial" w:cs="Arial"/>
                <w:sz w:val="24"/>
              </w:rPr>
              <w:t xml:space="preserve">Dr </w:t>
            </w:r>
            <w:r w:rsidR="007A5876" w:rsidRPr="00CC5FE4">
              <w:rPr>
                <w:rFonts w:ascii="Arial" w:hAnsi="Arial" w:cs="Arial"/>
                <w:sz w:val="24"/>
              </w:rPr>
              <w:t>Keith Bedford</w:t>
            </w:r>
            <w:r w:rsidR="0078532E" w:rsidRPr="00CC5FE4">
              <w:rPr>
                <w:rFonts w:ascii="Arial" w:hAnsi="Arial" w:cs="Arial"/>
                <w:sz w:val="24"/>
              </w:rPr>
              <w:t xml:space="preserve">, Haley </w:t>
            </w:r>
            <w:proofErr w:type="spellStart"/>
            <w:r w:rsidR="0078532E" w:rsidRPr="00CC5FE4">
              <w:rPr>
                <w:rFonts w:ascii="Arial" w:hAnsi="Arial" w:cs="Arial"/>
                <w:sz w:val="24"/>
              </w:rPr>
              <w:t>Ataera</w:t>
            </w:r>
            <w:proofErr w:type="spellEnd"/>
          </w:p>
        </w:tc>
      </w:tr>
    </w:tbl>
    <w:p w14:paraId="114EB39C" w14:textId="77777777" w:rsidR="007F6F56" w:rsidRPr="00CC5FE4" w:rsidRDefault="007F6F56" w:rsidP="007F6F56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9085"/>
      </w:tblGrid>
      <w:tr w:rsidR="007F6F56" w:rsidRPr="00CC5FE4" w14:paraId="2C600798" w14:textId="77777777" w:rsidTr="00AB5BE7">
        <w:tc>
          <w:tcPr>
            <w:tcW w:w="720" w:type="dxa"/>
          </w:tcPr>
          <w:p w14:paraId="134D28F0" w14:textId="77777777" w:rsidR="007F6F56" w:rsidRPr="00CC5FE4" w:rsidRDefault="007F6F56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b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9180" w:type="dxa"/>
          </w:tcPr>
          <w:p w14:paraId="12283AAF" w14:textId="77777777" w:rsidR="007F6F56" w:rsidRPr="00CC5FE4" w:rsidRDefault="007F6F56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b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Notes</w:t>
            </w:r>
          </w:p>
        </w:tc>
      </w:tr>
      <w:tr w:rsidR="007F6F56" w:rsidRPr="00CC5FE4" w14:paraId="7F02160A" w14:textId="77777777" w:rsidTr="00AB5BE7">
        <w:tc>
          <w:tcPr>
            <w:tcW w:w="720" w:type="dxa"/>
          </w:tcPr>
          <w:p w14:paraId="7B1018A6" w14:textId="77777777" w:rsidR="007F6F56" w:rsidRPr="00CC5FE4" w:rsidRDefault="007F6F56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180" w:type="dxa"/>
          </w:tcPr>
          <w:p w14:paraId="338E8E9E" w14:textId="77777777" w:rsidR="007F6F56" w:rsidRPr="00CC5FE4" w:rsidRDefault="005247A1" w:rsidP="00383E84">
            <w:pPr>
              <w:pStyle w:val="ListParagraph"/>
              <w:ind w:left="0"/>
              <w:rPr>
                <w:rFonts w:ascii="Arial" w:hAnsi="Arial" w:cs="Arial"/>
                <w:b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Morning tea on arrival</w:t>
            </w:r>
            <w:r w:rsidR="00ED46CB" w:rsidRPr="00CC5FE4">
              <w:rPr>
                <w:rFonts w:ascii="Arial" w:hAnsi="Arial" w:cs="Arial"/>
                <w:b/>
                <w:sz w:val="24"/>
              </w:rPr>
              <w:t xml:space="preserve"> 9.45am – 10am</w:t>
            </w:r>
          </w:p>
        </w:tc>
      </w:tr>
      <w:tr w:rsidR="005247A1" w:rsidRPr="00CC5FE4" w14:paraId="5B9A3F68" w14:textId="77777777" w:rsidTr="00AB5BE7">
        <w:tc>
          <w:tcPr>
            <w:tcW w:w="720" w:type="dxa"/>
          </w:tcPr>
          <w:p w14:paraId="0E148B40" w14:textId="77777777" w:rsidR="005247A1" w:rsidRPr="00CC5FE4" w:rsidRDefault="005247A1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9180" w:type="dxa"/>
          </w:tcPr>
          <w:p w14:paraId="452ED56A" w14:textId="77777777" w:rsidR="005247A1" w:rsidRPr="00CC5FE4" w:rsidRDefault="005247A1" w:rsidP="00AB5BE7">
            <w:pPr>
              <w:rPr>
                <w:rFonts w:ascii="Arial" w:hAnsi="Arial" w:cs="Arial"/>
                <w:b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Welcome, Introductions and apologies</w:t>
            </w:r>
          </w:p>
          <w:p w14:paraId="30BE2212" w14:textId="77777777" w:rsidR="00D373EB" w:rsidRPr="00CC5FE4" w:rsidRDefault="00D373EB" w:rsidP="007A587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The Chair welcomed everyone to the meeting and </w:t>
            </w:r>
            <w:r w:rsidR="00E50DA6" w:rsidRPr="00CC5FE4">
              <w:rPr>
                <w:rFonts w:ascii="Arial" w:hAnsi="Arial" w:cs="Arial"/>
                <w:sz w:val="24"/>
              </w:rPr>
              <w:t>i</w:t>
            </w:r>
            <w:r w:rsidRPr="00CC5FE4">
              <w:rPr>
                <w:rFonts w:ascii="Arial" w:hAnsi="Arial" w:cs="Arial"/>
                <w:sz w:val="24"/>
              </w:rPr>
              <w:t>ntroductions were given for all attendees.</w:t>
            </w:r>
          </w:p>
          <w:p w14:paraId="092DC8DC" w14:textId="77777777" w:rsidR="00D373EB" w:rsidRPr="00CC5FE4" w:rsidRDefault="00D373EB" w:rsidP="007A5876">
            <w:pPr>
              <w:rPr>
                <w:rFonts w:ascii="Arial" w:hAnsi="Arial" w:cs="Arial"/>
                <w:sz w:val="24"/>
              </w:rPr>
            </w:pPr>
          </w:p>
          <w:p w14:paraId="3C7F5BDD" w14:textId="0EBAEE8D" w:rsidR="00575AFE" w:rsidRPr="00CC5FE4" w:rsidRDefault="00575AFE" w:rsidP="007A587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Apologies were received for </w:t>
            </w:r>
            <w:r w:rsidR="000209CC" w:rsidRPr="00CC5FE4">
              <w:rPr>
                <w:rFonts w:ascii="Arial" w:hAnsi="Arial" w:cs="Arial"/>
                <w:sz w:val="24"/>
              </w:rPr>
              <w:t xml:space="preserve">Dr </w:t>
            </w:r>
            <w:r w:rsidRPr="00CC5FE4">
              <w:rPr>
                <w:rFonts w:ascii="Arial" w:hAnsi="Arial" w:cs="Arial"/>
                <w:sz w:val="24"/>
              </w:rPr>
              <w:t xml:space="preserve">Keith Bedford and </w:t>
            </w:r>
            <w:r w:rsidR="000209CC" w:rsidRPr="00CC5FE4">
              <w:rPr>
                <w:rFonts w:ascii="Arial" w:hAnsi="Arial" w:cs="Arial"/>
                <w:sz w:val="24"/>
              </w:rPr>
              <w:t xml:space="preserve">Dr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Jaki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Horn.</w:t>
            </w:r>
            <w:r w:rsidR="00D373EB" w:rsidRPr="00CC5FE4">
              <w:rPr>
                <w:rFonts w:ascii="Arial" w:hAnsi="Arial" w:cs="Arial"/>
                <w:sz w:val="24"/>
              </w:rPr>
              <w:t xml:space="preserve"> </w:t>
            </w:r>
            <w:r w:rsidR="00133D2C" w:rsidRPr="00CC5FE4">
              <w:rPr>
                <w:rFonts w:ascii="Arial" w:hAnsi="Arial" w:cs="Arial"/>
                <w:sz w:val="24"/>
              </w:rPr>
              <w:t xml:space="preserve">Hannah </w:t>
            </w:r>
            <w:proofErr w:type="spellStart"/>
            <w:r w:rsidR="00133D2C" w:rsidRPr="00CC5FE4">
              <w:rPr>
                <w:rFonts w:ascii="Arial" w:hAnsi="Arial" w:cs="Arial"/>
                <w:sz w:val="24"/>
              </w:rPr>
              <w:t>Partington</w:t>
            </w:r>
            <w:proofErr w:type="spellEnd"/>
            <w:r w:rsidR="009505E0" w:rsidRPr="00CC5FE4">
              <w:rPr>
                <w:rFonts w:ascii="Arial" w:hAnsi="Arial" w:cs="Arial"/>
                <w:sz w:val="24"/>
              </w:rPr>
              <w:t xml:space="preserve"> </w:t>
            </w:r>
            <w:r w:rsidR="00133D2C" w:rsidRPr="00CC5FE4">
              <w:rPr>
                <w:rFonts w:ascii="Arial" w:hAnsi="Arial" w:cs="Arial"/>
                <w:sz w:val="24"/>
              </w:rPr>
              <w:t>from ESR attended on behalf of Dr Keith Bedford</w:t>
            </w:r>
            <w:r w:rsidR="009505E0" w:rsidRPr="00CC5FE4">
              <w:rPr>
                <w:rFonts w:ascii="Arial" w:hAnsi="Arial" w:cs="Arial"/>
                <w:sz w:val="24"/>
              </w:rPr>
              <w:t xml:space="preserve"> </w:t>
            </w:r>
            <w:r w:rsidR="00E50DA6" w:rsidRPr="00CC5FE4">
              <w:rPr>
                <w:rFonts w:ascii="Arial" w:hAnsi="Arial" w:cs="Arial"/>
                <w:sz w:val="24"/>
              </w:rPr>
              <w:t>to speak about</w:t>
            </w:r>
            <w:r w:rsidR="00D373EB" w:rsidRPr="00CC5FE4">
              <w:rPr>
                <w:rFonts w:ascii="Arial" w:hAnsi="Arial" w:cs="Arial"/>
                <w:sz w:val="24"/>
              </w:rPr>
              <w:t xml:space="preserve"> notes provided for item 5.</w:t>
            </w:r>
          </w:p>
          <w:p w14:paraId="7CF4131C" w14:textId="77777777" w:rsidR="00575AFE" w:rsidRPr="00CC5FE4" w:rsidRDefault="00575AFE" w:rsidP="007A5876">
            <w:pPr>
              <w:rPr>
                <w:rFonts w:ascii="Arial" w:hAnsi="Arial" w:cs="Arial"/>
                <w:sz w:val="24"/>
              </w:rPr>
            </w:pPr>
          </w:p>
          <w:p w14:paraId="3A8E139B" w14:textId="5028B918" w:rsidR="00575AFE" w:rsidRPr="00CC5FE4" w:rsidRDefault="00575AFE" w:rsidP="007A587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It was also noted that </w:t>
            </w:r>
            <w:r w:rsidR="009505E0" w:rsidRPr="00CC5FE4">
              <w:rPr>
                <w:rFonts w:ascii="Arial" w:hAnsi="Arial" w:cs="Arial"/>
                <w:sz w:val="24"/>
              </w:rPr>
              <w:t>[redacted]</w:t>
            </w:r>
            <w:r w:rsidRPr="00CC5FE4">
              <w:rPr>
                <w:rFonts w:ascii="Arial" w:hAnsi="Arial" w:cs="Arial"/>
                <w:sz w:val="24"/>
              </w:rPr>
              <w:t xml:space="preserve"> has resigned as a member of the Committee </w:t>
            </w:r>
            <w:r w:rsidR="005B0080" w:rsidRPr="00CC5FE4">
              <w:rPr>
                <w:rFonts w:ascii="Arial" w:hAnsi="Arial" w:cs="Arial"/>
                <w:sz w:val="24"/>
              </w:rPr>
              <w:t xml:space="preserve">as the community medicines representative, </w:t>
            </w:r>
            <w:r w:rsidRPr="00CC5FE4">
              <w:rPr>
                <w:rFonts w:ascii="Arial" w:hAnsi="Arial" w:cs="Arial"/>
                <w:sz w:val="24"/>
              </w:rPr>
              <w:t>as she has relinquished her medical licence and can no longer sit on the Committee.</w:t>
            </w:r>
          </w:p>
          <w:p w14:paraId="7792F3A7" w14:textId="77777777" w:rsidR="007A5876" w:rsidRPr="00CC5FE4" w:rsidRDefault="007A5876" w:rsidP="007A5876">
            <w:pPr>
              <w:rPr>
                <w:rFonts w:ascii="Arial" w:hAnsi="Arial" w:cs="Arial"/>
                <w:sz w:val="24"/>
              </w:rPr>
            </w:pPr>
          </w:p>
        </w:tc>
      </w:tr>
      <w:tr w:rsidR="005247A1" w:rsidRPr="00CC5FE4" w14:paraId="04C4D40F" w14:textId="77777777" w:rsidTr="00AB5BE7">
        <w:tc>
          <w:tcPr>
            <w:tcW w:w="720" w:type="dxa"/>
          </w:tcPr>
          <w:p w14:paraId="477F6ECB" w14:textId="77777777" w:rsidR="005247A1" w:rsidRPr="00CC5FE4" w:rsidRDefault="005247A1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9180" w:type="dxa"/>
          </w:tcPr>
          <w:p w14:paraId="7ECA3ECE" w14:textId="77777777" w:rsidR="005247A1" w:rsidRPr="00CC5FE4" w:rsidRDefault="005247A1" w:rsidP="00AB5BE7">
            <w:pPr>
              <w:rPr>
                <w:rFonts w:ascii="Arial" w:hAnsi="Arial" w:cs="Arial"/>
                <w:b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Conflicts of interest</w:t>
            </w:r>
          </w:p>
          <w:p w14:paraId="2FD8559B" w14:textId="47B01ED8" w:rsidR="005B0080" w:rsidRPr="00CC5FE4" w:rsidRDefault="00133D2C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Associate Professor Cynthia Darlington </w:t>
            </w:r>
            <w:r w:rsidR="00D373EB" w:rsidRPr="00CC5FE4">
              <w:rPr>
                <w:rFonts w:ascii="Arial" w:hAnsi="Arial" w:cs="Arial"/>
                <w:sz w:val="24"/>
              </w:rPr>
              <w:t>declared a conflict of interest and asked</w:t>
            </w:r>
            <w:r w:rsidRPr="00CC5FE4">
              <w:rPr>
                <w:rFonts w:ascii="Arial" w:hAnsi="Arial" w:cs="Arial"/>
                <w:sz w:val="24"/>
              </w:rPr>
              <w:t xml:space="preserve"> Dr Stewart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Jessamine</w:t>
            </w:r>
            <w:proofErr w:type="spellEnd"/>
            <w:r w:rsidR="009505E0" w:rsidRPr="00CC5FE4">
              <w:rPr>
                <w:rFonts w:ascii="Arial" w:hAnsi="Arial" w:cs="Arial"/>
                <w:sz w:val="24"/>
              </w:rPr>
              <w:t xml:space="preserve"> </w:t>
            </w:r>
            <w:r w:rsidR="00575AFE" w:rsidRPr="00CC5FE4">
              <w:rPr>
                <w:rFonts w:ascii="Arial" w:hAnsi="Arial" w:cs="Arial"/>
                <w:sz w:val="24"/>
              </w:rPr>
              <w:t>to Chair the meeting du</w:t>
            </w:r>
            <w:r w:rsidR="00514656" w:rsidRPr="00CC5FE4">
              <w:rPr>
                <w:rFonts w:ascii="Arial" w:hAnsi="Arial" w:cs="Arial"/>
                <w:sz w:val="24"/>
              </w:rPr>
              <w:t xml:space="preserve">ring the </w:t>
            </w:r>
            <w:proofErr w:type="spellStart"/>
            <w:r w:rsidR="00514656" w:rsidRPr="00CC5FE4">
              <w:rPr>
                <w:rFonts w:ascii="Arial" w:hAnsi="Arial" w:cs="Arial"/>
                <w:sz w:val="24"/>
              </w:rPr>
              <w:t>Cannibidiol</w:t>
            </w:r>
            <w:proofErr w:type="spellEnd"/>
            <w:r w:rsidR="00514656" w:rsidRPr="00CC5FE4">
              <w:rPr>
                <w:rFonts w:ascii="Arial" w:hAnsi="Arial" w:cs="Arial"/>
                <w:sz w:val="24"/>
              </w:rPr>
              <w:t xml:space="preserve"> discussion as she has been involved in preclinical research into cannabinoid pharmacology.</w:t>
            </w:r>
          </w:p>
          <w:p w14:paraId="1958DD06" w14:textId="77777777" w:rsidR="00514656" w:rsidRPr="00CC5FE4" w:rsidRDefault="00514656" w:rsidP="00AB5BE7">
            <w:pPr>
              <w:rPr>
                <w:rFonts w:ascii="Arial" w:hAnsi="Arial" w:cs="Arial"/>
                <w:sz w:val="24"/>
              </w:rPr>
            </w:pPr>
          </w:p>
          <w:p w14:paraId="0123EE20" w14:textId="77777777" w:rsidR="005B0080" w:rsidRPr="00CC5FE4" w:rsidRDefault="00A91093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No other conflicts of interest were declared.</w:t>
            </w:r>
          </w:p>
          <w:p w14:paraId="5A72E4EA" w14:textId="77777777" w:rsidR="005247A1" w:rsidRPr="00CC5FE4" w:rsidRDefault="005247A1" w:rsidP="00AB5BE7">
            <w:pPr>
              <w:rPr>
                <w:rFonts w:ascii="Arial" w:hAnsi="Arial" w:cs="Arial"/>
                <w:sz w:val="24"/>
              </w:rPr>
            </w:pPr>
          </w:p>
        </w:tc>
      </w:tr>
      <w:tr w:rsidR="005247A1" w:rsidRPr="00CC5FE4" w14:paraId="4BD67ED5" w14:textId="77777777" w:rsidTr="00AB5BE7">
        <w:tc>
          <w:tcPr>
            <w:tcW w:w="720" w:type="dxa"/>
          </w:tcPr>
          <w:p w14:paraId="0E07E35F" w14:textId="77777777" w:rsidR="005247A1" w:rsidRPr="00CC5FE4" w:rsidRDefault="005247A1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9180" w:type="dxa"/>
          </w:tcPr>
          <w:p w14:paraId="5FAA7586" w14:textId="77777777" w:rsidR="007A5876" w:rsidRPr="00CC5FE4" w:rsidRDefault="007A5876" w:rsidP="007A587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Previous minutes – Action points and standing points</w:t>
            </w:r>
          </w:p>
          <w:p w14:paraId="296B707F" w14:textId="6580B482" w:rsidR="00F86C05" w:rsidRPr="00CC5FE4" w:rsidRDefault="009505E0" w:rsidP="00575AF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lastRenderedPageBreak/>
              <w:t>[</w:t>
            </w:r>
            <w:proofErr w:type="gramStart"/>
            <w:r w:rsidRPr="00CC5FE4">
              <w:rPr>
                <w:rFonts w:ascii="Arial" w:hAnsi="Arial" w:cs="Arial"/>
                <w:sz w:val="24"/>
              </w:rPr>
              <w:t>redacted</w:t>
            </w:r>
            <w:proofErr w:type="gramEnd"/>
            <w:r w:rsidRPr="00CC5FE4">
              <w:rPr>
                <w:rFonts w:ascii="Arial" w:hAnsi="Arial" w:cs="Arial"/>
                <w:sz w:val="24"/>
              </w:rPr>
              <w:t xml:space="preserve">] </w:t>
            </w:r>
            <w:r w:rsidR="0078532E" w:rsidRPr="00CC5FE4">
              <w:rPr>
                <w:rFonts w:ascii="Arial" w:hAnsi="Arial" w:cs="Arial"/>
                <w:sz w:val="24"/>
              </w:rPr>
              <w:t xml:space="preserve">gave an update regarding the </w:t>
            </w:r>
            <w:r w:rsidR="00B3013F" w:rsidRPr="00CC5FE4">
              <w:rPr>
                <w:rFonts w:ascii="Arial" w:hAnsi="Arial" w:cs="Arial"/>
                <w:sz w:val="24"/>
              </w:rPr>
              <w:t xml:space="preserve">proposed </w:t>
            </w:r>
            <w:r w:rsidR="0078532E" w:rsidRPr="00CC5FE4">
              <w:rPr>
                <w:rFonts w:ascii="Arial" w:hAnsi="Arial" w:cs="Arial"/>
                <w:sz w:val="24"/>
              </w:rPr>
              <w:t xml:space="preserve">working group on prescribing practise. </w:t>
            </w:r>
            <w:r w:rsidR="00B3013F" w:rsidRPr="00CC5FE4">
              <w:rPr>
                <w:rFonts w:ascii="Arial" w:hAnsi="Arial" w:cs="Arial"/>
                <w:sz w:val="24"/>
              </w:rPr>
              <w:t xml:space="preserve">The status of this work is currently at a researching and collaborating stage with the relevant people. Potential information sources include the NZ </w:t>
            </w:r>
            <w:proofErr w:type="spellStart"/>
            <w:r w:rsidR="00B3013F" w:rsidRPr="00CC5FE4">
              <w:rPr>
                <w:rFonts w:ascii="Arial" w:hAnsi="Arial" w:cs="Arial"/>
                <w:sz w:val="24"/>
              </w:rPr>
              <w:t>ePrescription</w:t>
            </w:r>
            <w:proofErr w:type="spellEnd"/>
            <w:r w:rsidR="00B3013F" w:rsidRPr="00CC5FE4">
              <w:rPr>
                <w:rFonts w:ascii="Arial" w:hAnsi="Arial" w:cs="Arial"/>
                <w:sz w:val="24"/>
              </w:rPr>
              <w:t xml:space="preserve"> service, PHAR</w:t>
            </w:r>
            <w:r w:rsidR="00E50DA6" w:rsidRPr="00CC5FE4">
              <w:rPr>
                <w:rFonts w:ascii="Arial" w:hAnsi="Arial" w:cs="Arial"/>
                <w:sz w:val="24"/>
              </w:rPr>
              <w:t>MAC/Pharms data and the Opioid O</w:t>
            </w:r>
            <w:r w:rsidR="00B3013F" w:rsidRPr="00CC5FE4">
              <w:rPr>
                <w:rFonts w:ascii="Arial" w:hAnsi="Arial" w:cs="Arial"/>
                <w:sz w:val="24"/>
              </w:rPr>
              <w:t>verdose Advisory Group as part of the NZ Drug Foundation.</w:t>
            </w:r>
          </w:p>
          <w:p w14:paraId="19C7714F" w14:textId="77777777" w:rsidR="0078532E" w:rsidRPr="00CC5FE4" w:rsidRDefault="005A53B1" w:rsidP="00575AF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An update was also given</w:t>
            </w:r>
            <w:r w:rsidR="0078532E" w:rsidRPr="00CC5FE4">
              <w:rPr>
                <w:rFonts w:ascii="Arial" w:hAnsi="Arial" w:cs="Arial"/>
                <w:sz w:val="24"/>
              </w:rPr>
              <w:t xml:space="preserve"> on tramadol </w:t>
            </w:r>
            <w:r w:rsidRPr="00CC5FE4">
              <w:rPr>
                <w:rFonts w:ascii="Arial" w:hAnsi="Arial" w:cs="Arial"/>
                <w:sz w:val="24"/>
              </w:rPr>
              <w:t>annual oversupply data</w:t>
            </w:r>
            <w:r w:rsidR="0078532E" w:rsidRPr="00CC5FE4">
              <w:rPr>
                <w:rFonts w:ascii="Arial" w:hAnsi="Arial" w:cs="Arial"/>
                <w:sz w:val="24"/>
              </w:rPr>
              <w:t xml:space="preserve"> and effects </w:t>
            </w:r>
            <w:r w:rsidR="000E3626" w:rsidRPr="00CC5FE4">
              <w:rPr>
                <w:rFonts w:ascii="Arial" w:hAnsi="Arial" w:cs="Arial"/>
                <w:sz w:val="24"/>
              </w:rPr>
              <w:t>observed</w:t>
            </w:r>
            <w:r w:rsidR="0078532E" w:rsidRPr="00CC5FE4">
              <w:rPr>
                <w:rFonts w:ascii="Arial" w:hAnsi="Arial" w:cs="Arial"/>
                <w:sz w:val="24"/>
              </w:rPr>
              <w:t xml:space="preserve"> on tramadol and other pain </w:t>
            </w:r>
            <w:r w:rsidR="000E3626" w:rsidRPr="00CC5FE4">
              <w:rPr>
                <w:rFonts w:ascii="Arial" w:hAnsi="Arial" w:cs="Arial"/>
                <w:sz w:val="24"/>
              </w:rPr>
              <w:t>medications</w:t>
            </w:r>
            <w:r w:rsidR="0078532E" w:rsidRPr="00CC5FE4">
              <w:rPr>
                <w:rFonts w:ascii="Arial" w:hAnsi="Arial" w:cs="Arial"/>
                <w:sz w:val="24"/>
              </w:rPr>
              <w:t xml:space="preserve"> following a MOH warning on pr</w:t>
            </w:r>
            <w:r w:rsidRPr="00CC5FE4">
              <w:rPr>
                <w:rFonts w:ascii="Arial" w:hAnsi="Arial" w:cs="Arial"/>
                <w:sz w:val="24"/>
              </w:rPr>
              <w:t>escribing oxycodone. It was unclear when the warning on prescribing oxycodone was given and the information has been provided side by side over a period in which the warning was likely given (2008 – 2015).</w:t>
            </w:r>
          </w:p>
          <w:p w14:paraId="1352ADE2" w14:textId="77777777" w:rsidR="0078532E" w:rsidRPr="00CC5FE4" w:rsidRDefault="0028135F" w:rsidP="007853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An u</w:t>
            </w:r>
            <w:r w:rsidR="000174D1" w:rsidRPr="00CC5FE4">
              <w:rPr>
                <w:rFonts w:ascii="Arial" w:hAnsi="Arial" w:cs="Arial"/>
                <w:sz w:val="24"/>
              </w:rPr>
              <w:t>pdate on section</w:t>
            </w:r>
            <w:r w:rsidR="0078532E" w:rsidRPr="00CC5FE4">
              <w:rPr>
                <w:rFonts w:ascii="Arial" w:hAnsi="Arial" w:cs="Arial"/>
                <w:sz w:val="24"/>
              </w:rPr>
              <w:t xml:space="preserve"> 29 data for </w:t>
            </w:r>
            <w:proofErr w:type="spellStart"/>
            <w:r w:rsidR="0078532E" w:rsidRPr="00CC5FE4">
              <w:rPr>
                <w:rFonts w:ascii="Arial" w:hAnsi="Arial" w:cs="Arial"/>
                <w:sz w:val="24"/>
              </w:rPr>
              <w:t>zolpidem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was provided via </w:t>
            </w:r>
            <w:r w:rsidR="000209CC" w:rsidRPr="00CC5FE4">
              <w:rPr>
                <w:rFonts w:ascii="Arial" w:hAnsi="Arial" w:cs="Arial"/>
                <w:sz w:val="24"/>
              </w:rPr>
              <w:t>hand-outs</w:t>
            </w:r>
            <w:r w:rsidR="005A53B1" w:rsidRPr="00CC5FE4">
              <w:rPr>
                <w:rFonts w:ascii="Arial" w:hAnsi="Arial" w:cs="Arial"/>
                <w:sz w:val="24"/>
              </w:rPr>
              <w:t>.</w:t>
            </w:r>
            <w:r w:rsidR="004F243A" w:rsidRPr="00CC5FE4">
              <w:rPr>
                <w:rFonts w:ascii="Arial" w:hAnsi="Arial" w:cs="Arial"/>
                <w:sz w:val="24"/>
              </w:rPr>
              <w:t xml:space="preserve"> </w:t>
            </w:r>
            <w:r w:rsidRPr="00CC5FE4">
              <w:rPr>
                <w:rFonts w:ascii="Arial" w:hAnsi="Arial" w:cs="Arial"/>
                <w:sz w:val="24"/>
              </w:rPr>
              <w:t xml:space="preserve">Regarding the scheduling of both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zolipidem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zopiclone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as Class C5 controlled drugs under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>, f</w:t>
            </w:r>
            <w:r w:rsidR="004F243A" w:rsidRPr="00CC5FE4">
              <w:rPr>
                <w:rFonts w:ascii="Arial" w:hAnsi="Arial" w:cs="Arial"/>
                <w:sz w:val="24"/>
              </w:rPr>
              <w:t>eedback had been received from industry</w:t>
            </w:r>
            <w:r w:rsidR="0078532E" w:rsidRPr="00CC5FE4">
              <w:rPr>
                <w:rFonts w:ascii="Arial" w:hAnsi="Arial" w:cs="Arial"/>
                <w:sz w:val="24"/>
              </w:rPr>
              <w:t xml:space="preserve"> </w:t>
            </w:r>
            <w:r w:rsidR="004F243A" w:rsidRPr="00CC5FE4">
              <w:rPr>
                <w:rFonts w:ascii="Arial" w:hAnsi="Arial" w:cs="Arial"/>
                <w:sz w:val="24"/>
              </w:rPr>
              <w:t>which was ma</w:t>
            </w:r>
            <w:r w:rsidRPr="00CC5FE4">
              <w:rPr>
                <w:rFonts w:ascii="Arial" w:hAnsi="Arial" w:cs="Arial"/>
                <w:sz w:val="24"/>
              </w:rPr>
              <w:t xml:space="preserve">inly supportive of the proposal. The one manufacturer who did not support the proposal sited cost </w:t>
            </w:r>
            <w:r w:rsidR="00E50DA6" w:rsidRPr="00CC5FE4">
              <w:rPr>
                <w:rFonts w:ascii="Arial" w:hAnsi="Arial" w:cs="Arial"/>
                <w:sz w:val="24"/>
              </w:rPr>
              <w:t>issues as their main reasoning</w:t>
            </w:r>
            <w:r w:rsidRPr="00CC5FE4">
              <w:rPr>
                <w:rFonts w:ascii="Arial" w:hAnsi="Arial" w:cs="Arial"/>
                <w:sz w:val="24"/>
              </w:rPr>
              <w:t xml:space="preserve">. </w:t>
            </w:r>
            <w:r w:rsidR="004F243A" w:rsidRPr="00CC5FE4">
              <w:rPr>
                <w:rFonts w:ascii="Arial" w:hAnsi="Arial" w:cs="Arial"/>
                <w:sz w:val="24"/>
              </w:rPr>
              <w:t>The health report and letter to</w:t>
            </w:r>
            <w:r w:rsidRPr="00CC5FE4">
              <w:rPr>
                <w:rFonts w:ascii="Arial" w:hAnsi="Arial" w:cs="Arial"/>
                <w:sz w:val="24"/>
              </w:rPr>
              <w:t xml:space="preserve"> the Minister have been drafted and are waiting to be finalised.</w:t>
            </w:r>
          </w:p>
          <w:p w14:paraId="65E563D5" w14:textId="060EE840" w:rsidR="0078532E" w:rsidRPr="00CC5FE4" w:rsidRDefault="009505E0" w:rsidP="007853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[</w:t>
            </w:r>
            <w:proofErr w:type="gramStart"/>
            <w:r w:rsidRPr="00CC5FE4">
              <w:rPr>
                <w:rFonts w:ascii="Arial" w:hAnsi="Arial" w:cs="Arial"/>
                <w:sz w:val="24"/>
              </w:rPr>
              <w:t>redacted</w:t>
            </w:r>
            <w:proofErr w:type="gramEnd"/>
            <w:r w:rsidRPr="00CC5FE4">
              <w:rPr>
                <w:rFonts w:ascii="Arial" w:hAnsi="Arial" w:cs="Arial"/>
                <w:sz w:val="24"/>
              </w:rPr>
              <w:t xml:space="preserve">] </w:t>
            </w:r>
            <w:r w:rsidR="0028135F" w:rsidRPr="00CC5FE4">
              <w:rPr>
                <w:rFonts w:ascii="Arial" w:hAnsi="Arial" w:cs="Arial"/>
                <w:sz w:val="24"/>
              </w:rPr>
              <w:t>gave an update regarding the WHO Expert C</w:t>
            </w:r>
            <w:r w:rsidR="0078532E" w:rsidRPr="00CC5FE4">
              <w:rPr>
                <w:rFonts w:ascii="Arial" w:hAnsi="Arial" w:cs="Arial"/>
                <w:sz w:val="24"/>
              </w:rPr>
              <w:t>om</w:t>
            </w:r>
            <w:r w:rsidR="0028135F" w:rsidRPr="00CC5FE4">
              <w:rPr>
                <w:rFonts w:ascii="Arial" w:hAnsi="Arial" w:cs="Arial"/>
                <w:sz w:val="24"/>
              </w:rPr>
              <w:t xml:space="preserve">mittee on Drug Dependence. Reviews </w:t>
            </w:r>
            <w:r w:rsidR="00297295" w:rsidRPr="00CC5FE4">
              <w:rPr>
                <w:rFonts w:ascii="Arial" w:hAnsi="Arial" w:cs="Arial"/>
                <w:sz w:val="24"/>
              </w:rPr>
              <w:t xml:space="preserve">are carried out on certain substances that raise </w:t>
            </w:r>
            <w:r w:rsidR="0028135F" w:rsidRPr="00CC5FE4">
              <w:rPr>
                <w:rFonts w:ascii="Arial" w:hAnsi="Arial" w:cs="Arial"/>
                <w:sz w:val="24"/>
              </w:rPr>
              <w:t>concerns</w:t>
            </w:r>
            <w:r w:rsidR="000209CC" w:rsidRPr="00CC5FE4">
              <w:rPr>
                <w:rFonts w:ascii="Arial" w:hAnsi="Arial" w:cs="Arial"/>
                <w:sz w:val="24"/>
              </w:rPr>
              <w:t>,</w:t>
            </w:r>
            <w:r w:rsidR="0028135F" w:rsidRPr="00CC5FE4">
              <w:rPr>
                <w:rFonts w:ascii="Arial" w:hAnsi="Arial" w:cs="Arial"/>
                <w:sz w:val="24"/>
              </w:rPr>
              <w:t xml:space="preserve"> </w:t>
            </w:r>
            <w:r w:rsidR="00297295" w:rsidRPr="00CC5FE4">
              <w:rPr>
                <w:rFonts w:ascii="Arial" w:hAnsi="Arial" w:cs="Arial"/>
                <w:sz w:val="24"/>
              </w:rPr>
              <w:t xml:space="preserve">which are </w:t>
            </w:r>
            <w:r w:rsidR="0028135F" w:rsidRPr="00CC5FE4">
              <w:rPr>
                <w:rFonts w:ascii="Arial" w:hAnsi="Arial" w:cs="Arial"/>
                <w:sz w:val="24"/>
              </w:rPr>
              <w:t xml:space="preserve">then </w:t>
            </w:r>
            <w:r w:rsidR="00E50DA6" w:rsidRPr="00CC5FE4">
              <w:rPr>
                <w:rFonts w:ascii="Arial" w:hAnsi="Arial" w:cs="Arial"/>
                <w:sz w:val="24"/>
              </w:rPr>
              <w:t>determined if scheduling</w:t>
            </w:r>
            <w:r w:rsidR="0028135F" w:rsidRPr="00CC5FE4">
              <w:rPr>
                <w:rFonts w:ascii="Arial" w:hAnsi="Arial" w:cs="Arial"/>
                <w:sz w:val="24"/>
              </w:rPr>
              <w:t xml:space="preserve"> under </w:t>
            </w:r>
            <w:r w:rsidR="00297295" w:rsidRPr="00CC5FE4">
              <w:rPr>
                <w:rFonts w:ascii="Arial" w:hAnsi="Arial" w:cs="Arial"/>
                <w:sz w:val="24"/>
              </w:rPr>
              <w:t xml:space="preserve">either </w:t>
            </w:r>
            <w:r w:rsidR="0028135F" w:rsidRPr="00CC5FE4">
              <w:rPr>
                <w:rFonts w:ascii="Arial" w:hAnsi="Arial" w:cs="Arial"/>
                <w:sz w:val="24"/>
              </w:rPr>
              <w:t xml:space="preserve">the </w:t>
            </w:r>
            <w:r w:rsidR="00297295" w:rsidRPr="00CC5FE4">
              <w:rPr>
                <w:rFonts w:ascii="Arial" w:hAnsi="Arial" w:cs="Arial"/>
                <w:sz w:val="24"/>
              </w:rPr>
              <w:t>Single Convention on Narcotic Drugs (1961)</w:t>
            </w:r>
            <w:r w:rsidR="0028135F" w:rsidRPr="00CC5FE4">
              <w:rPr>
                <w:rFonts w:ascii="Arial" w:hAnsi="Arial" w:cs="Arial"/>
                <w:sz w:val="24"/>
              </w:rPr>
              <w:t xml:space="preserve"> or the </w:t>
            </w:r>
            <w:r w:rsidR="00297295" w:rsidRPr="00CC5FE4">
              <w:rPr>
                <w:rFonts w:ascii="Arial" w:hAnsi="Arial" w:cs="Arial"/>
                <w:sz w:val="24"/>
              </w:rPr>
              <w:t>UN Convention on Psychotropic Substances (1971)</w:t>
            </w:r>
            <w:r w:rsidR="00E50DA6" w:rsidRPr="00CC5FE4">
              <w:rPr>
                <w:rFonts w:ascii="Arial" w:hAnsi="Arial" w:cs="Arial"/>
                <w:sz w:val="24"/>
              </w:rPr>
              <w:t xml:space="preserve"> is necessary</w:t>
            </w:r>
            <w:r w:rsidR="0028135F" w:rsidRPr="00CC5FE4">
              <w:rPr>
                <w:rFonts w:ascii="Arial" w:hAnsi="Arial" w:cs="Arial"/>
                <w:sz w:val="24"/>
              </w:rPr>
              <w:t xml:space="preserve">. </w:t>
            </w:r>
            <w:r w:rsidR="00297295" w:rsidRPr="00CC5FE4">
              <w:rPr>
                <w:rFonts w:ascii="Arial" w:hAnsi="Arial" w:cs="Arial"/>
                <w:sz w:val="24"/>
              </w:rPr>
              <w:t>R</w:t>
            </w:r>
            <w:r w:rsidR="0028135F" w:rsidRPr="00CC5FE4">
              <w:rPr>
                <w:rFonts w:ascii="Arial" w:hAnsi="Arial" w:cs="Arial"/>
                <w:sz w:val="24"/>
              </w:rPr>
              <w:t xml:space="preserve">ecommendations </w:t>
            </w:r>
            <w:r w:rsidR="00297295" w:rsidRPr="00CC5FE4">
              <w:rPr>
                <w:rFonts w:ascii="Arial" w:hAnsi="Arial" w:cs="Arial"/>
                <w:sz w:val="24"/>
              </w:rPr>
              <w:t xml:space="preserve">are then taken </w:t>
            </w:r>
            <w:r w:rsidR="0028135F" w:rsidRPr="00CC5FE4">
              <w:rPr>
                <w:rFonts w:ascii="Arial" w:hAnsi="Arial" w:cs="Arial"/>
                <w:sz w:val="24"/>
              </w:rPr>
              <w:t xml:space="preserve">to the </w:t>
            </w:r>
            <w:r w:rsidR="00297295" w:rsidRPr="00CC5FE4">
              <w:rPr>
                <w:rFonts w:ascii="Arial" w:hAnsi="Arial" w:cs="Arial"/>
                <w:sz w:val="24"/>
              </w:rPr>
              <w:t>Commission on Narcotic Drugs through the UN which are</w:t>
            </w:r>
            <w:r w:rsidR="0028135F" w:rsidRPr="00CC5FE4">
              <w:rPr>
                <w:rFonts w:ascii="Arial" w:hAnsi="Arial" w:cs="Arial"/>
                <w:sz w:val="24"/>
              </w:rPr>
              <w:t xml:space="preserve"> then ratif</w:t>
            </w:r>
            <w:r w:rsidR="00297295" w:rsidRPr="00CC5FE4">
              <w:rPr>
                <w:rFonts w:ascii="Arial" w:hAnsi="Arial" w:cs="Arial"/>
                <w:sz w:val="24"/>
              </w:rPr>
              <w:t>ied</w:t>
            </w:r>
            <w:r w:rsidR="0028135F" w:rsidRPr="00CC5FE4">
              <w:rPr>
                <w:rFonts w:ascii="Arial" w:hAnsi="Arial" w:cs="Arial"/>
                <w:sz w:val="24"/>
              </w:rPr>
              <w:t>. This happens several times a year</w:t>
            </w:r>
            <w:r w:rsidR="0078532E" w:rsidRPr="00CC5FE4">
              <w:rPr>
                <w:rFonts w:ascii="Arial" w:hAnsi="Arial" w:cs="Arial"/>
                <w:sz w:val="24"/>
              </w:rPr>
              <w:t xml:space="preserve">. </w:t>
            </w:r>
            <w:r w:rsidR="00C702F9" w:rsidRPr="00CC5FE4">
              <w:rPr>
                <w:rFonts w:ascii="Arial" w:hAnsi="Arial" w:cs="Arial"/>
                <w:sz w:val="24"/>
              </w:rPr>
              <w:t>Seven substances were scheduled a</w:t>
            </w:r>
            <w:r w:rsidR="00297295" w:rsidRPr="00CC5FE4">
              <w:rPr>
                <w:rFonts w:ascii="Arial" w:hAnsi="Arial" w:cs="Arial"/>
                <w:sz w:val="24"/>
              </w:rPr>
              <w:t xml:space="preserve">t the </w:t>
            </w:r>
            <w:r w:rsidR="0078532E" w:rsidRPr="00CC5FE4">
              <w:rPr>
                <w:rFonts w:ascii="Arial" w:hAnsi="Arial" w:cs="Arial"/>
                <w:sz w:val="24"/>
              </w:rPr>
              <w:t>37</w:t>
            </w:r>
            <w:r w:rsidR="0078532E" w:rsidRPr="00CC5FE4">
              <w:rPr>
                <w:rFonts w:ascii="Arial" w:hAnsi="Arial" w:cs="Arial"/>
                <w:sz w:val="24"/>
                <w:vertAlign w:val="superscript"/>
              </w:rPr>
              <w:t>th</w:t>
            </w:r>
            <w:r w:rsidR="0078532E" w:rsidRPr="00CC5FE4">
              <w:rPr>
                <w:rFonts w:ascii="Arial" w:hAnsi="Arial" w:cs="Arial"/>
                <w:sz w:val="24"/>
              </w:rPr>
              <w:t xml:space="preserve"> meeting </w:t>
            </w:r>
            <w:r w:rsidR="00297295" w:rsidRPr="00CC5FE4">
              <w:rPr>
                <w:rFonts w:ascii="Arial" w:hAnsi="Arial" w:cs="Arial"/>
                <w:sz w:val="24"/>
              </w:rPr>
              <w:t xml:space="preserve">held </w:t>
            </w:r>
            <w:r w:rsidR="0078532E" w:rsidRPr="00CC5FE4">
              <w:rPr>
                <w:rFonts w:ascii="Arial" w:hAnsi="Arial" w:cs="Arial"/>
                <w:sz w:val="24"/>
              </w:rPr>
              <w:t>in December</w:t>
            </w:r>
            <w:r w:rsidR="00C702F9" w:rsidRPr="00CC5FE4">
              <w:rPr>
                <w:rFonts w:ascii="Arial" w:hAnsi="Arial" w:cs="Arial"/>
                <w:sz w:val="24"/>
              </w:rPr>
              <w:t xml:space="preserve"> 2015 which </w:t>
            </w:r>
            <w:r w:rsidR="00297295" w:rsidRPr="00CC5FE4">
              <w:rPr>
                <w:rFonts w:ascii="Arial" w:hAnsi="Arial" w:cs="Arial"/>
                <w:sz w:val="24"/>
              </w:rPr>
              <w:t xml:space="preserve">include </w:t>
            </w:r>
            <w:r w:rsidR="0028135F" w:rsidRPr="00CC5FE4">
              <w:rPr>
                <w:rFonts w:ascii="Arial" w:hAnsi="Arial" w:cs="Arial"/>
                <w:sz w:val="24"/>
              </w:rPr>
              <w:t>4</w:t>
            </w:r>
            <w:proofErr w:type="gramStart"/>
            <w:r w:rsidR="0028135F" w:rsidRPr="00CC5FE4">
              <w:rPr>
                <w:rFonts w:ascii="Arial" w:hAnsi="Arial" w:cs="Arial"/>
                <w:sz w:val="24"/>
              </w:rPr>
              <w:t>,4</w:t>
            </w:r>
            <w:proofErr w:type="gramEnd"/>
            <w:r w:rsidR="0028135F" w:rsidRPr="00CC5FE4">
              <w:rPr>
                <w:rFonts w:ascii="Arial" w:hAnsi="Arial" w:cs="Arial"/>
                <w:sz w:val="24"/>
              </w:rPr>
              <w:t xml:space="preserve">-DMAR, PMMA, </w:t>
            </w:r>
            <w:proofErr w:type="spellStart"/>
            <w:r w:rsidR="0028135F" w:rsidRPr="00CC5FE4">
              <w:rPr>
                <w:rFonts w:ascii="Arial" w:hAnsi="Arial" w:cs="Arial"/>
                <w:sz w:val="24"/>
              </w:rPr>
              <w:t>acetylfentanyl</w:t>
            </w:r>
            <w:proofErr w:type="spellEnd"/>
            <w:r w:rsidR="0028135F" w:rsidRPr="00CC5FE4">
              <w:rPr>
                <w:rFonts w:ascii="Arial" w:hAnsi="Arial" w:cs="Arial"/>
                <w:sz w:val="24"/>
              </w:rPr>
              <w:t>,</w:t>
            </w:r>
            <w:r w:rsidR="00C702F9" w:rsidRPr="00CC5FE4">
              <w:rPr>
                <w:rFonts w:ascii="Arial" w:hAnsi="Arial" w:cs="Arial"/>
                <w:sz w:val="24"/>
              </w:rPr>
              <w:t xml:space="preserve"> MT-</w:t>
            </w:r>
            <w:r w:rsidR="0028135F" w:rsidRPr="00CC5FE4">
              <w:rPr>
                <w:rFonts w:ascii="Arial" w:hAnsi="Arial" w:cs="Arial"/>
                <w:sz w:val="24"/>
              </w:rPr>
              <w:t>45 a</w:t>
            </w:r>
            <w:r w:rsidR="00C702F9" w:rsidRPr="00CC5FE4">
              <w:rPr>
                <w:rFonts w:ascii="Arial" w:hAnsi="Arial" w:cs="Arial"/>
                <w:sz w:val="24"/>
              </w:rPr>
              <w:t>lpha-PV</w:t>
            </w:r>
            <w:r w:rsidR="0028135F" w:rsidRPr="00CC5FE4">
              <w:rPr>
                <w:rFonts w:ascii="Arial" w:hAnsi="Arial" w:cs="Arial"/>
                <w:sz w:val="24"/>
              </w:rPr>
              <w:t>P</w:t>
            </w:r>
            <w:r w:rsidR="00C702F9" w:rsidRPr="00CC5FE4">
              <w:rPr>
                <w:rFonts w:ascii="Arial" w:hAnsi="Arial" w:cs="Arial"/>
                <w:sz w:val="24"/>
              </w:rPr>
              <w:t>, MXE</w:t>
            </w:r>
            <w:r w:rsidR="00297295" w:rsidRPr="00CC5FE4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297295" w:rsidRPr="00CC5FE4">
              <w:rPr>
                <w:rFonts w:ascii="Arial" w:hAnsi="Arial" w:cs="Arial"/>
                <w:sz w:val="24"/>
              </w:rPr>
              <w:t>phenazepam</w:t>
            </w:r>
            <w:proofErr w:type="spellEnd"/>
            <w:r w:rsidR="00297295" w:rsidRPr="00CC5FE4">
              <w:rPr>
                <w:rFonts w:ascii="Arial" w:hAnsi="Arial" w:cs="Arial"/>
                <w:sz w:val="24"/>
              </w:rPr>
              <w:t xml:space="preserve">. Since signing these conventions, the Committee have </w:t>
            </w:r>
            <w:r w:rsidR="00C702F9" w:rsidRPr="00CC5FE4">
              <w:rPr>
                <w:rFonts w:ascii="Arial" w:hAnsi="Arial" w:cs="Arial"/>
                <w:sz w:val="24"/>
              </w:rPr>
              <w:t xml:space="preserve">an </w:t>
            </w:r>
            <w:r w:rsidR="00297295" w:rsidRPr="00CC5FE4">
              <w:rPr>
                <w:rFonts w:ascii="Arial" w:hAnsi="Arial" w:cs="Arial"/>
                <w:sz w:val="24"/>
              </w:rPr>
              <w:t>obligation to have a look at these substances</w:t>
            </w:r>
            <w:r w:rsidR="00C702F9" w:rsidRPr="00CC5FE4">
              <w:rPr>
                <w:rFonts w:ascii="Arial" w:hAnsi="Arial" w:cs="Arial"/>
                <w:sz w:val="24"/>
              </w:rPr>
              <w:t xml:space="preserve"> at some point, taking into account the current work load</w:t>
            </w:r>
            <w:r w:rsidR="000209CC" w:rsidRPr="00CC5FE4">
              <w:rPr>
                <w:rFonts w:ascii="Arial" w:hAnsi="Arial" w:cs="Arial"/>
                <w:sz w:val="24"/>
              </w:rPr>
              <w:t xml:space="preserve"> of the Secretariat</w:t>
            </w:r>
            <w:r w:rsidR="00C702F9" w:rsidRPr="00CC5FE4">
              <w:rPr>
                <w:rFonts w:ascii="Arial" w:hAnsi="Arial" w:cs="Arial"/>
                <w:sz w:val="24"/>
              </w:rPr>
              <w:t xml:space="preserve">. Alpha-PVP had been put </w:t>
            </w:r>
            <w:r w:rsidR="0078532E" w:rsidRPr="00CC5FE4">
              <w:rPr>
                <w:rFonts w:ascii="Arial" w:hAnsi="Arial" w:cs="Arial"/>
                <w:sz w:val="24"/>
              </w:rPr>
              <w:t>forward for this meeting</w:t>
            </w:r>
            <w:r w:rsidR="00297295" w:rsidRPr="00CC5FE4">
              <w:rPr>
                <w:rFonts w:ascii="Arial" w:hAnsi="Arial" w:cs="Arial"/>
                <w:sz w:val="24"/>
              </w:rPr>
              <w:t xml:space="preserve"> as it is already prese</w:t>
            </w:r>
            <w:r w:rsidR="00C702F9" w:rsidRPr="00CC5FE4">
              <w:rPr>
                <w:rFonts w:ascii="Arial" w:hAnsi="Arial" w:cs="Arial"/>
                <w:sz w:val="24"/>
              </w:rPr>
              <w:t>nt in NZ whereas the others are not as prevalent.</w:t>
            </w:r>
          </w:p>
          <w:p w14:paraId="2C33CD14" w14:textId="7F8AA905" w:rsidR="007A5597" w:rsidRPr="00CC5FE4" w:rsidRDefault="009505E0" w:rsidP="007853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[</w:t>
            </w:r>
            <w:proofErr w:type="gramStart"/>
            <w:r w:rsidRPr="00CC5FE4">
              <w:rPr>
                <w:rFonts w:ascii="Arial" w:hAnsi="Arial" w:cs="Arial"/>
                <w:sz w:val="24"/>
              </w:rPr>
              <w:t>redacted</w:t>
            </w:r>
            <w:proofErr w:type="gramEnd"/>
            <w:r w:rsidRPr="00CC5FE4">
              <w:rPr>
                <w:rFonts w:ascii="Arial" w:hAnsi="Arial" w:cs="Arial"/>
                <w:sz w:val="24"/>
              </w:rPr>
              <w:t xml:space="preserve">] </w:t>
            </w:r>
            <w:r w:rsidR="0063501C" w:rsidRPr="00CC5FE4">
              <w:rPr>
                <w:rFonts w:ascii="Arial" w:hAnsi="Arial" w:cs="Arial"/>
                <w:sz w:val="24"/>
              </w:rPr>
              <w:t>gave a brief update regarding his inclusion on the I</w:t>
            </w:r>
            <w:r w:rsidR="0078532E" w:rsidRPr="00CC5FE4">
              <w:rPr>
                <w:rFonts w:ascii="Arial" w:hAnsi="Arial" w:cs="Arial"/>
                <w:sz w:val="24"/>
              </w:rPr>
              <w:t xml:space="preserve">nter </w:t>
            </w:r>
            <w:r w:rsidR="0063501C" w:rsidRPr="00CC5FE4">
              <w:rPr>
                <w:rFonts w:ascii="Arial" w:hAnsi="Arial" w:cs="Arial"/>
                <w:sz w:val="24"/>
              </w:rPr>
              <w:t>A</w:t>
            </w:r>
            <w:r w:rsidR="0078532E" w:rsidRPr="00CC5FE4">
              <w:rPr>
                <w:rFonts w:ascii="Arial" w:hAnsi="Arial" w:cs="Arial"/>
                <w:sz w:val="24"/>
              </w:rPr>
              <w:t xml:space="preserve">gency </w:t>
            </w:r>
            <w:r w:rsidR="0063501C" w:rsidRPr="00CC5FE4">
              <w:rPr>
                <w:rFonts w:ascii="Arial" w:hAnsi="Arial" w:cs="Arial"/>
                <w:sz w:val="24"/>
              </w:rPr>
              <w:t>C</w:t>
            </w:r>
            <w:r w:rsidR="0078532E" w:rsidRPr="00CC5FE4">
              <w:rPr>
                <w:rFonts w:ascii="Arial" w:hAnsi="Arial" w:cs="Arial"/>
                <w:sz w:val="24"/>
              </w:rPr>
              <w:t xml:space="preserve">ommittee on </w:t>
            </w:r>
            <w:r w:rsidR="0063501C" w:rsidRPr="00CC5FE4">
              <w:rPr>
                <w:rFonts w:ascii="Arial" w:hAnsi="Arial" w:cs="Arial"/>
                <w:sz w:val="24"/>
              </w:rPr>
              <w:t>D</w:t>
            </w:r>
            <w:r w:rsidR="0078532E" w:rsidRPr="00CC5FE4">
              <w:rPr>
                <w:rFonts w:ascii="Arial" w:hAnsi="Arial" w:cs="Arial"/>
                <w:sz w:val="24"/>
              </w:rPr>
              <w:t>rugs</w:t>
            </w:r>
            <w:r w:rsidR="0063501C" w:rsidRPr="00CC5FE4">
              <w:rPr>
                <w:rFonts w:ascii="Arial" w:hAnsi="Arial" w:cs="Arial"/>
                <w:sz w:val="24"/>
              </w:rPr>
              <w:t xml:space="preserve"> (IACD)</w:t>
            </w:r>
            <w:r w:rsidR="00535DFD" w:rsidRPr="00CC5FE4">
              <w:rPr>
                <w:rFonts w:ascii="Arial" w:hAnsi="Arial" w:cs="Arial"/>
                <w:sz w:val="24"/>
              </w:rPr>
              <w:t xml:space="preserve">. </w:t>
            </w:r>
            <w:r w:rsidR="00A91093" w:rsidRPr="00CC5FE4">
              <w:rPr>
                <w:rFonts w:ascii="Arial" w:hAnsi="Arial" w:cs="Arial"/>
                <w:sz w:val="24"/>
              </w:rPr>
              <w:t>Currently</w:t>
            </w:r>
            <w:r w:rsidR="00535DFD" w:rsidRPr="00CC5FE4">
              <w:rPr>
                <w:rFonts w:ascii="Arial" w:hAnsi="Arial" w:cs="Arial"/>
                <w:sz w:val="24"/>
              </w:rPr>
              <w:t>, the main priority for the IACD was</w:t>
            </w:r>
            <w:r w:rsidR="00A91093" w:rsidRPr="00CC5FE4">
              <w:rPr>
                <w:rFonts w:ascii="Arial" w:hAnsi="Arial" w:cs="Arial"/>
                <w:sz w:val="24"/>
              </w:rPr>
              <w:t xml:space="preserve"> looking at</w:t>
            </w:r>
            <w:r w:rsidR="00535DFD" w:rsidRPr="00CC5FE4">
              <w:rPr>
                <w:rFonts w:ascii="Arial" w:hAnsi="Arial" w:cs="Arial"/>
                <w:sz w:val="24"/>
              </w:rPr>
              <w:t xml:space="preserve"> the </w:t>
            </w:r>
            <w:r w:rsidR="00A91093" w:rsidRPr="00CC5FE4">
              <w:rPr>
                <w:rFonts w:ascii="Arial" w:hAnsi="Arial" w:cs="Arial"/>
                <w:sz w:val="24"/>
              </w:rPr>
              <w:t>implementation of the National D</w:t>
            </w:r>
            <w:r w:rsidR="0078532E" w:rsidRPr="00CC5FE4">
              <w:rPr>
                <w:rFonts w:ascii="Arial" w:hAnsi="Arial" w:cs="Arial"/>
                <w:sz w:val="24"/>
              </w:rPr>
              <w:t xml:space="preserve">rug </w:t>
            </w:r>
            <w:r w:rsidR="00A91093" w:rsidRPr="00CC5FE4">
              <w:rPr>
                <w:rFonts w:ascii="Arial" w:hAnsi="Arial" w:cs="Arial"/>
                <w:sz w:val="24"/>
              </w:rPr>
              <w:t>P</w:t>
            </w:r>
            <w:r w:rsidR="0078532E" w:rsidRPr="00CC5FE4">
              <w:rPr>
                <w:rFonts w:ascii="Arial" w:hAnsi="Arial" w:cs="Arial"/>
                <w:sz w:val="24"/>
              </w:rPr>
              <w:t>lan</w:t>
            </w:r>
            <w:r w:rsidR="00A91093" w:rsidRPr="00CC5FE4">
              <w:rPr>
                <w:rFonts w:ascii="Arial" w:hAnsi="Arial" w:cs="Arial"/>
                <w:sz w:val="24"/>
              </w:rPr>
              <w:t xml:space="preserve"> as a core governance role</w:t>
            </w:r>
            <w:r w:rsidR="0078532E" w:rsidRPr="00CC5FE4">
              <w:rPr>
                <w:rFonts w:ascii="Arial" w:hAnsi="Arial" w:cs="Arial"/>
                <w:sz w:val="24"/>
              </w:rPr>
              <w:t xml:space="preserve">. </w:t>
            </w:r>
            <w:r w:rsidR="007A5597" w:rsidRPr="00CC5FE4">
              <w:rPr>
                <w:rFonts w:ascii="Arial" w:hAnsi="Arial" w:cs="Arial"/>
                <w:sz w:val="24"/>
              </w:rPr>
              <w:t>It was noted that m</w:t>
            </w:r>
            <w:r w:rsidR="001E3B7B" w:rsidRPr="00CC5FE4">
              <w:rPr>
                <w:rFonts w:ascii="Arial" w:hAnsi="Arial" w:cs="Arial"/>
                <w:sz w:val="24"/>
              </w:rPr>
              <w:t xml:space="preserve">ore interaction between </w:t>
            </w:r>
            <w:r w:rsidR="007A5597" w:rsidRPr="00CC5FE4">
              <w:rPr>
                <w:rFonts w:ascii="Arial" w:hAnsi="Arial" w:cs="Arial"/>
                <w:sz w:val="24"/>
              </w:rPr>
              <w:t>the IACD and EACD is needed as there is an overlap between the two Committees</w:t>
            </w:r>
            <w:r w:rsidR="000209CC" w:rsidRPr="00CC5FE4">
              <w:rPr>
                <w:rFonts w:ascii="Arial" w:hAnsi="Arial" w:cs="Arial"/>
                <w:sz w:val="24"/>
              </w:rPr>
              <w:t>’</w:t>
            </w:r>
            <w:r w:rsidR="007A5597" w:rsidRPr="00CC5FE4">
              <w:rPr>
                <w:rFonts w:ascii="Arial" w:hAnsi="Arial" w:cs="Arial"/>
                <w:sz w:val="24"/>
              </w:rPr>
              <w:t xml:space="preserve"> functions and working more closely would be beneficial.</w:t>
            </w:r>
          </w:p>
          <w:p w14:paraId="5A4F44EA" w14:textId="77777777" w:rsidR="00AB5BE7" w:rsidRPr="00CC5FE4" w:rsidRDefault="00AB5BE7" w:rsidP="007A5597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  <w:p w14:paraId="2E13BE3E" w14:textId="77777777" w:rsidR="00AB5BE7" w:rsidRPr="00CC5FE4" w:rsidRDefault="00182C5F" w:rsidP="007A5597">
            <w:pPr>
              <w:pStyle w:val="ListParagraph"/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Action</w:t>
            </w:r>
            <w:r w:rsidR="007A5597" w:rsidRPr="00CC5FE4">
              <w:rPr>
                <w:rFonts w:ascii="Arial" w:hAnsi="Arial" w:cs="Arial"/>
                <w:b/>
                <w:sz w:val="24"/>
              </w:rPr>
              <w:t xml:space="preserve">: </w:t>
            </w:r>
            <w:r w:rsidR="007A5597" w:rsidRPr="00CC5FE4">
              <w:rPr>
                <w:rFonts w:ascii="Arial" w:hAnsi="Arial" w:cs="Arial"/>
                <w:sz w:val="24"/>
              </w:rPr>
              <w:t xml:space="preserve">Secretariat to liaise with IACD Secretariat regarding lines of communication with respect to emerging substances for </w:t>
            </w:r>
            <w:r w:rsidR="000209CC" w:rsidRPr="00CC5FE4">
              <w:rPr>
                <w:rFonts w:ascii="Arial" w:hAnsi="Arial" w:cs="Arial"/>
                <w:sz w:val="24"/>
              </w:rPr>
              <w:t xml:space="preserve">the </w:t>
            </w:r>
            <w:r w:rsidR="007A5597" w:rsidRPr="00CC5FE4">
              <w:rPr>
                <w:rFonts w:ascii="Arial" w:hAnsi="Arial" w:cs="Arial"/>
                <w:sz w:val="24"/>
              </w:rPr>
              <w:t xml:space="preserve">EACD to </w:t>
            </w:r>
          </w:p>
          <w:p w14:paraId="46762651" w14:textId="77777777" w:rsidR="0078532E" w:rsidRPr="00CC5FE4" w:rsidRDefault="007A5597" w:rsidP="007A5597">
            <w:pPr>
              <w:pStyle w:val="ListParagraph"/>
              <w:rPr>
                <w:rFonts w:ascii="Arial" w:hAnsi="Arial" w:cs="Arial"/>
                <w:sz w:val="24"/>
              </w:rPr>
            </w:pPr>
            <w:proofErr w:type="gramStart"/>
            <w:r w:rsidRPr="00CC5FE4">
              <w:rPr>
                <w:rFonts w:ascii="Arial" w:hAnsi="Arial" w:cs="Arial"/>
                <w:sz w:val="24"/>
              </w:rPr>
              <w:t>consider</w:t>
            </w:r>
            <w:proofErr w:type="gramEnd"/>
            <w:r w:rsidRPr="00CC5FE4">
              <w:rPr>
                <w:rFonts w:ascii="Arial" w:hAnsi="Arial" w:cs="Arial"/>
                <w:sz w:val="24"/>
              </w:rPr>
              <w:t>.</w:t>
            </w:r>
          </w:p>
          <w:p w14:paraId="3DA8CA71" w14:textId="77777777" w:rsidR="00AB5BE7" w:rsidRPr="00CC5FE4" w:rsidRDefault="00AB5BE7" w:rsidP="00AB5BE7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0F6B22CD" w14:textId="33351985" w:rsidR="00EE11DB" w:rsidRPr="00CC5FE4" w:rsidRDefault="001E3B7B" w:rsidP="0078532E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The Chair asked that the Committee put forward any s</w:t>
            </w:r>
            <w:r w:rsidR="00182C5F" w:rsidRPr="00CC5FE4">
              <w:rPr>
                <w:rFonts w:ascii="Arial" w:hAnsi="Arial" w:cs="Arial"/>
                <w:sz w:val="24"/>
              </w:rPr>
              <w:t xml:space="preserve">uggestions for replacements for </w:t>
            </w:r>
            <w:r w:rsidR="00521E43" w:rsidRPr="00CC5FE4">
              <w:rPr>
                <w:rFonts w:ascii="Arial" w:hAnsi="Arial" w:cs="Arial"/>
                <w:sz w:val="24"/>
              </w:rPr>
              <w:t>[redacted]</w:t>
            </w:r>
            <w:r w:rsidR="00182C5F" w:rsidRPr="00CC5FE4">
              <w:rPr>
                <w:rFonts w:ascii="Arial" w:hAnsi="Arial" w:cs="Arial"/>
                <w:sz w:val="24"/>
              </w:rPr>
              <w:t xml:space="preserve"> as community medicine representative.</w:t>
            </w:r>
          </w:p>
          <w:p w14:paraId="1C22CC78" w14:textId="77777777" w:rsidR="00AB5BE7" w:rsidRPr="00CC5FE4" w:rsidRDefault="00AB5BE7" w:rsidP="00EE11DB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  <w:p w14:paraId="7E0AE1B2" w14:textId="47DD002A" w:rsidR="00EE11DB" w:rsidRPr="00CC5FE4" w:rsidRDefault="00EE11DB" w:rsidP="00EE11DB">
            <w:pPr>
              <w:pStyle w:val="ListParagraph"/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 xml:space="preserve">Action: </w:t>
            </w:r>
            <w:r w:rsidR="009505E0" w:rsidRPr="00CC5FE4">
              <w:rPr>
                <w:rFonts w:ascii="Arial" w:hAnsi="Arial" w:cs="Arial"/>
                <w:sz w:val="24"/>
              </w:rPr>
              <w:t xml:space="preserve">[redacted] </w:t>
            </w:r>
            <w:r w:rsidR="00182C5F" w:rsidRPr="00CC5FE4">
              <w:rPr>
                <w:rFonts w:ascii="Arial" w:hAnsi="Arial" w:cs="Arial"/>
                <w:sz w:val="24"/>
              </w:rPr>
              <w:t>will speak to some G</w:t>
            </w:r>
            <w:r w:rsidR="001E3B7B" w:rsidRPr="00CC5FE4">
              <w:rPr>
                <w:rFonts w:ascii="Arial" w:hAnsi="Arial" w:cs="Arial"/>
                <w:sz w:val="24"/>
              </w:rPr>
              <w:t xml:space="preserve">eneral </w:t>
            </w:r>
            <w:r w:rsidR="00182C5F" w:rsidRPr="00CC5FE4">
              <w:rPr>
                <w:rFonts w:ascii="Arial" w:hAnsi="Arial" w:cs="Arial"/>
                <w:sz w:val="24"/>
              </w:rPr>
              <w:t>P</w:t>
            </w:r>
            <w:r w:rsidR="001E3B7B" w:rsidRPr="00CC5FE4">
              <w:rPr>
                <w:rFonts w:ascii="Arial" w:hAnsi="Arial" w:cs="Arial"/>
                <w:sz w:val="24"/>
              </w:rPr>
              <w:t>ractitioners that have expertise in addiction and work closely with police</w:t>
            </w:r>
            <w:r w:rsidR="00182C5F" w:rsidRPr="00CC5FE4">
              <w:rPr>
                <w:rFonts w:ascii="Arial" w:hAnsi="Arial" w:cs="Arial"/>
                <w:sz w:val="24"/>
              </w:rPr>
              <w:t>.</w:t>
            </w:r>
          </w:p>
          <w:p w14:paraId="02815C29" w14:textId="77777777" w:rsidR="00AB5BE7" w:rsidRPr="00CC5FE4" w:rsidRDefault="00AB5BE7" w:rsidP="00EE11DB">
            <w:pPr>
              <w:pStyle w:val="ListParagraph"/>
              <w:rPr>
                <w:rFonts w:ascii="Arial" w:hAnsi="Arial" w:cs="Arial"/>
                <w:b/>
                <w:sz w:val="24"/>
              </w:rPr>
            </w:pPr>
          </w:p>
          <w:p w14:paraId="37B932FD" w14:textId="77777777" w:rsidR="00182C5F" w:rsidRPr="00CC5FE4" w:rsidRDefault="00EE11DB" w:rsidP="00EE11DB">
            <w:pPr>
              <w:pStyle w:val="ListParagraph"/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 xml:space="preserve">Action: </w:t>
            </w:r>
            <w:r w:rsidR="001E3B7B" w:rsidRPr="00CC5FE4">
              <w:rPr>
                <w:rFonts w:ascii="Arial" w:hAnsi="Arial" w:cs="Arial"/>
                <w:sz w:val="24"/>
              </w:rPr>
              <w:t xml:space="preserve">Secretariat to go to </w:t>
            </w:r>
            <w:r w:rsidR="00A91093" w:rsidRPr="00CC5FE4">
              <w:rPr>
                <w:rFonts w:ascii="Arial" w:hAnsi="Arial" w:cs="Arial"/>
                <w:sz w:val="24"/>
              </w:rPr>
              <w:t>The Royal New Zealand College of General Practitioners</w:t>
            </w:r>
            <w:r w:rsidR="00C20DAA" w:rsidRPr="00CC5FE4">
              <w:rPr>
                <w:rFonts w:ascii="Arial" w:hAnsi="Arial" w:cs="Arial"/>
                <w:sz w:val="24"/>
              </w:rPr>
              <w:t>,</w:t>
            </w:r>
            <w:r w:rsidR="00A91093" w:rsidRPr="00CC5FE4">
              <w:rPr>
                <w:rFonts w:ascii="Arial" w:hAnsi="Arial" w:cs="Arial"/>
                <w:sz w:val="24"/>
              </w:rPr>
              <w:t xml:space="preserve"> </w:t>
            </w:r>
            <w:r w:rsidRPr="00CC5FE4">
              <w:rPr>
                <w:rFonts w:ascii="Arial" w:hAnsi="Arial" w:cs="Arial"/>
                <w:sz w:val="24"/>
              </w:rPr>
              <w:t xml:space="preserve">and </w:t>
            </w:r>
            <w:r w:rsidR="00C20DAA" w:rsidRPr="00CC5FE4">
              <w:rPr>
                <w:rFonts w:ascii="Arial" w:hAnsi="Arial" w:cs="Arial"/>
                <w:sz w:val="24"/>
              </w:rPr>
              <w:t xml:space="preserve">the </w:t>
            </w:r>
            <w:r w:rsidR="00A91093" w:rsidRPr="00CC5FE4">
              <w:rPr>
                <w:rFonts w:ascii="Arial" w:hAnsi="Arial" w:cs="Arial"/>
                <w:sz w:val="24"/>
              </w:rPr>
              <w:t>Pharmacology and Therapeutics Advisory Committee (</w:t>
            </w:r>
            <w:r w:rsidRPr="00CC5FE4">
              <w:rPr>
                <w:rFonts w:ascii="Arial" w:hAnsi="Arial" w:cs="Arial"/>
                <w:sz w:val="24"/>
              </w:rPr>
              <w:t>PTAC</w:t>
            </w:r>
            <w:r w:rsidR="00A91093" w:rsidRPr="00CC5FE4">
              <w:rPr>
                <w:rFonts w:ascii="Arial" w:hAnsi="Arial" w:cs="Arial"/>
                <w:sz w:val="24"/>
              </w:rPr>
              <w:t>)</w:t>
            </w:r>
            <w:r w:rsidR="00FA0DE9" w:rsidRPr="00CC5FE4">
              <w:rPr>
                <w:rFonts w:ascii="Arial" w:hAnsi="Arial" w:cs="Arial"/>
                <w:sz w:val="24"/>
              </w:rPr>
              <w:t xml:space="preserve"> to ask for nominations</w:t>
            </w:r>
            <w:r w:rsidR="001E3B7B" w:rsidRPr="00CC5FE4">
              <w:rPr>
                <w:rFonts w:ascii="Arial" w:hAnsi="Arial" w:cs="Arial"/>
                <w:sz w:val="24"/>
              </w:rPr>
              <w:t>.</w:t>
            </w:r>
          </w:p>
          <w:p w14:paraId="56E5E030" w14:textId="77777777" w:rsidR="00F86C05" w:rsidRPr="00CC5FE4" w:rsidRDefault="00F86C05" w:rsidP="001E3B7B">
            <w:pPr>
              <w:pStyle w:val="ListParagraph"/>
              <w:rPr>
                <w:rFonts w:ascii="Arial" w:hAnsi="Arial" w:cs="Arial"/>
                <w:sz w:val="24"/>
              </w:rPr>
            </w:pPr>
          </w:p>
        </w:tc>
      </w:tr>
      <w:tr w:rsidR="005247A1" w:rsidRPr="00CC5FE4" w14:paraId="349287E3" w14:textId="77777777" w:rsidTr="00AB5BE7">
        <w:tc>
          <w:tcPr>
            <w:tcW w:w="720" w:type="dxa"/>
          </w:tcPr>
          <w:p w14:paraId="7ECC92B5" w14:textId="77777777" w:rsidR="005247A1" w:rsidRPr="00CC5FE4" w:rsidRDefault="005247A1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lastRenderedPageBreak/>
              <w:t>5</w:t>
            </w:r>
          </w:p>
        </w:tc>
        <w:tc>
          <w:tcPr>
            <w:tcW w:w="9180" w:type="dxa"/>
          </w:tcPr>
          <w:p w14:paraId="09252816" w14:textId="7B956D56" w:rsidR="005247A1" w:rsidRPr="00CC5FE4" w:rsidRDefault="00615E74" w:rsidP="00AB5BE7">
            <w:p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Canna</w:t>
            </w:r>
            <w:r w:rsidR="007A5876" w:rsidRPr="00CC5FE4">
              <w:rPr>
                <w:rFonts w:ascii="Arial" w:hAnsi="Arial" w:cs="Arial"/>
                <w:b/>
                <w:sz w:val="24"/>
              </w:rPr>
              <w:t>bidiol</w:t>
            </w:r>
            <w:proofErr w:type="spellEnd"/>
            <w:r w:rsidR="0081781D" w:rsidRPr="00CC5FE4">
              <w:rPr>
                <w:rFonts w:ascii="Arial" w:hAnsi="Arial" w:cs="Arial"/>
                <w:b/>
                <w:sz w:val="24"/>
              </w:rPr>
              <w:t xml:space="preserve"> (CBD)</w:t>
            </w:r>
          </w:p>
          <w:p w14:paraId="717F910E" w14:textId="6E09AF31" w:rsidR="007A5876" w:rsidRPr="00CC5FE4" w:rsidRDefault="009505E0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[redacted] </w:t>
            </w:r>
            <w:r w:rsidR="00182C5F" w:rsidRPr="00CC5FE4">
              <w:rPr>
                <w:rFonts w:ascii="Arial" w:hAnsi="Arial" w:cs="Arial"/>
                <w:sz w:val="24"/>
              </w:rPr>
              <w:t>(</w:t>
            </w:r>
            <w:r w:rsidR="00F94E2F" w:rsidRPr="00CC5FE4">
              <w:rPr>
                <w:rFonts w:ascii="Arial" w:hAnsi="Arial" w:cs="Arial"/>
                <w:sz w:val="24"/>
              </w:rPr>
              <w:t xml:space="preserve">Senior Policy Analyst, </w:t>
            </w:r>
            <w:proofErr w:type="spellStart"/>
            <w:r w:rsidR="00F94E2F" w:rsidRPr="00CC5FE4">
              <w:rPr>
                <w:rFonts w:ascii="Arial" w:hAnsi="Arial" w:cs="Arial"/>
                <w:sz w:val="24"/>
              </w:rPr>
              <w:t>MoH</w:t>
            </w:r>
            <w:proofErr w:type="spellEnd"/>
            <w:r w:rsidR="00182C5F" w:rsidRPr="00CC5FE4">
              <w:rPr>
                <w:rFonts w:ascii="Arial" w:hAnsi="Arial" w:cs="Arial"/>
                <w:sz w:val="24"/>
              </w:rPr>
              <w:t xml:space="preserve">) and </w:t>
            </w:r>
            <w:r w:rsidRPr="00CC5FE4">
              <w:rPr>
                <w:rFonts w:ascii="Arial" w:hAnsi="Arial" w:cs="Arial"/>
                <w:sz w:val="24"/>
              </w:rPr>
              <w:t xml:space="preserve">[redacted] </w:t>
            </w:r>
            <w:r w:rsidR="00182C5F" w:rsidRPr="00CC5FE4">
              <w:rPr>
                <w:rFonts w:ascii="Arial" w:hAnsi="Arial" w:cs="Arial"/>
                <w:sz w:val="24"/>
              </w:rPr>
              <w:t>(</w:t>
            </w:r>
            <w:r w:rsidR="00521E43" w:rsidRPr="00CC5FE4">
              <w:rPr>
                <w:rFonts w:ascii="Arial" w:hAnsi="Arial" w:cs="Arial"/>
                <w:sz w:val="24"/>
              </w:rPr>
              <w:t>Principal</w:t>
            </w:r>
            <w:r w:rsidR="00F94E2F" w:rsidRPr="00CC5FE4">
              <w:rPr>
                <w:rFonts w:ascii="Arial" w:hAnsi="Arial" w:cs="Arial"/>
                <w:sz w:val="24"/>
              </w:rPr>
              <w:t xml:space="preserve"> Advisor, </w:t>
            </w:r>
            <w:r w:rsidR="00182C5F" w:rsidRPr="00CC5FE4">
              <w:rPr>
                <w:rFonts w:ascii="Arial" w:hAnsi="Arial" w:cs="Arial"/>
                <w:sz w:val="24"/>
              </w:rPr>
              <w:t>Medicines</w:t>
            </w:r>
            <w:r w:rsidR="00C702F9" w:rsidRPr="00CC5FE4">
              <w:rPr>
                <w:rFonts w:ascii="Arial" w:hAnsi="Arial" w:cs="Arial"/>
                <w:sz w:val="24"/>
              </w:rPr>
              <w:t xml:space="preserve"> control) attended the meeting</w:t>
            </w:r>
            <w:r w:rsidR="00EE11DB" w:rsidRPr="00CC5FE4">
              <w:rPr>
                <w:rFonts w:ascii="Arial" w:hAnsi="Arial" w:cs="Arial"/>
                <w:sz w:val="24"/>
              </w:rPr>
              <w:t xml:space="preserve"> at 10.21am.</w:t>
            </w:r>
          </w:p>
          <w:p w14:paraId="45ECC7B6" w14:textId="77777777" w:rsidR="00EE11DB" w:rsidRPr="00CC5FE4" w:rsidRDefault="00EE11DB" w:rsidP="00AB5BE7">
            <w:pPr>
              <w:rPr>
                <w:rFonts w:ascii="Arial" w:hAnsi="Arial" w:cs="Arial"/>
                <w:sz w:val="24"/>
              </w:rPr>
            </w:pPr>
          </w:p>
          <w:p w14:paraId="27B67440" w14:textId="78ABDE0F" w:rsidR="00EE11DB" w:rsidRPr="00CC5FE4" w:rsidRDefault="00133D2C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lastRenderedPageBreak/>
              <w:t xml:space="preserve">Dr Stewart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Jessamine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</w:t>
            </w:r>
            <w:r w:rsidR="00EE11DB" w:rsidRPr="00CC5FE4">
              <w:rPr>
                <w:rFonts w:ascii="Arial" w:hAnsi="Arial" w:cs="Arial"/>
                <w:sz w:val="24"/>
              </w:rPr>
              <w:t xml:space="preserve">chaired the discussion as </w:t>
            </w:r>
            <w:r w:rsidRPr="00CC5FE4">
              <w:rPr>
                <w:rFonts w:ascii="Arial" w:hAnsi="Arial" w:cs="Arial"/>
                <w:sz w:val="24"/>
              </w:rPr>
              <w:t xml:space="preserve">Assoc.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Prof.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Cynthia Darlington </w:t>
            </w:r>
            <w:r w:rsidR="00EE11DB" w:rsidRPr="00CC5FE4">
              <w:rPr>
                <w:rFonts w:ascii="Arial" w:hAnsi="Arial" w:cs="Arial"/>
                <w:sz w:val="24"/>
              </w:rPr>
              <w:t xml:space="preserve">had </w:t>
            </w:r>
            <w:r w:rsidR="000174D1" w:rsidRPr="00CC5FE4">
              <w:rPr>
                <w:rFonts w:ascii="Arial" w:hAnsi="Arial" w:cs="Arial"/>
                <w:sz w:val="24"/>
              </w:rPr>
              <w:t xml:space="preserve">declared </w:t>
            </w:r>
            <w:r w:rsidR="00EE11DB" w:rsidRPr="00CC5FE4">
              <w:rPr>
                <w:rFonts w:ascii="Arial" w:hAnsi="Arial" w:cs="Arial"/>
                <w:sz w:val="24"/>
              </w:rPr>
              <w:t xml:space="preserve">a conflict of interest due </w:t>
            </w:r>
            <w:r w:rsidR="000209CC" w:rsidRPr="00CC5FE4">
              <w:rPr>
                <w:rFonts w:ascii="Arial" w:hAnsi="Arial" w:cs="Arial"/>
                <w:sz w:val="24"/>
              </w:rPr>
              <w:t xml:space="preserve">to her </w:t>
            </w:r>
            <w:r w:rsidR="00514656" w:rsidRPr="00CC5FE4">
              <w:rPr>
                <w:rFonts w:ascii="Arial" w:hAnsi="Arial" w:cs="Arial"/>
                <w:sz w:val="24"/>
              </w:rPr>
              <w:t>involvement in preclinical research into cannabinoid pharmacology</w:t>
            </w:r>
            <w:r w:rsidR="00EE11DB" w:rsidRPr="00CC5FE4">
              <w:rPr>
                <w:rFonts w:ascii="Arial" w:hAnsi="Arial" w:cs="Arial"/>
                <w:sz w:val="24"/>
              </w:rPr>
              <w:t>.</w:t>
            </w:r>
            <w:r w:rsidR="001E3B7B" w:rsidRPr="00CC5FE4">
              <w:rPr>
                <w:rFonts w:ascii="Arial" w:hAnsi="Arial" w:cs="Arial"/>
                <w:sz w:val="24"/>
              </w:rPr>
              <w:t xml:space="preserve"> </w:t>
            </w:r>
            <w:r w:rsidR="0081781D" w:rsidRPr="00CC5FE4">
              <w:rPr>
                <w:rFonts w:ascii="Arial" w:hAnsi="Arial" w:cs="Arial"/>
                <w:sz w:val="24"/>
              </w:rPr>
              <w:t>The Committee</w:t>
            </w:r>
            <w:r w:rsidR="00EE11DB" w:rsidRPr="00CC5FE4">
              <w:rPr>
                <w:rFonts w:ascii="Arial" w:hAnsi="Arial" w:cs="Arial"/>
                <w:sz w:val="24"/>
              </w:rPr>
              <w:t xml:space="preserve"> ha</w:t>
            </w:r>
            <w:r w:rsidR="001E3B7B" w:rsidRPr="00CC5FE4">
              <w:rPr>
                <w:rFonts w:ascii="Arial" w:hAnsi="Arial" w:cs="Arial"/>
                <w:sz w:val="24"/>
              </w:rPr>
              <w:t>d</w:t>
            </w:r>
            <w:r w:rsidR="00EE11DB" w:rsidRPr="00CC5FE4">
              <w:rPr>
                <w:rFonts w:ascii="Arial" w:hAnsi="Arial" w:cs="Arial"/>
                <w:sz w:val="24"/>
              </w:rPr>
              <w:t xml:space="preserve"> no issues with </w:t>
            </w:r>
            <w:r w:rsidRPr="00CC5FE4">
              <w:rPr>
                <w:rFonts w:ascii="Arial" w:hAnsi="Arial" w:cs="Arial"/>
                <w:sz w:val="24"/>
              </w:rPr>
              <w:t xml:space="preserve">Assoc.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Prof.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Cynthia Darlington </w:t>
            </w:r>
            <w:r w:rsidR="00EE11DB" w:rsidRPr="00CC5FE4">
              <w:rPr>
                <w:rFonts w:ascii="Arial" w:hAnsi="Arial" w:cs="Arial"/>
                <w:sz w:val="24"/>
              </w:rPr>
              <w:t>being pre</w:t>
            </w:r>
            <w:r w:rsidR="001E3B7B" w:rsidRPr="00CC5FE4">
              <w:rPr>
                <w:rFonts w:ascii="Arial" w:hAnsi="Arial" w:cs="Arial"/>
                <w:sz w:val="24"/>
              </w:rPr>
              <w:t>sent for the</w:t>
            </w:r>
            <w:r w:rsidR="00405D35" w:rsidRPr="00CC5FE4">
              <w:rPr>
                <w:rFonts w:ascii="Arial" w:hAnsi="Arial" w:cs="Arial"/>
                <w:sz w:val="24"/>
              </w:rPr>
              <w:t xml:space="preserve"> discussion </w:t>
            </w:r>
            <w:r w:rsidR="001E3B7B" w:rsidRPr="00CC5FE4">
              <w:rPr>
                <w:rFonts w:ascii="Arial" w:hAnsi="Arial" w:cs="Arial"/>
                <w:sz w:val="24"/>
              </w:rPr>
              <w:t xml:space="preserve">given her expertise in the area </w:t>
            </w:r>
            <w:r w:rsidR="00405D35" w:rsidRPr="00CC5FE4">
              <w:rPr>
                <w:rFonts w:ascii="Arial" w:hAnsi="Arial" w:cs="Arial"/>
                <w:sz w:val="24"/>
              </w:rPr>
              <w:t>but she would be excluded from</w:t>
            </w:r>
            <w:r w:rsidR="006829B2" w:rsidRPr="00CC5FE4">
              <w:rPr>
                <w:rFonts w:ascii="Arial" w:hAnsi="Arial" w:cs="Arial"/>
                <w:sz w:val="24"/>
              </w:rPr>
              <w:t xml:space="preserve"> the decision making </w:t>
            </w:r>
            <w:r w:rsidR="001E3B7B" w:rsidRPr="00CC5FE4">
              <w:rPr>
                <w:rFonts w:ascii="Arial" w:hAnsi="Arial" w:cs="Arial"/>
                <w:sz w:val="24"/>
              </w:rPr>
              <w:t xml:space="preserve">process </w:t>
            </w:r>
            <w:r w:rsidR="006829B2" w:rsidRPr="00CC5FE4">
              <w:rPr>
                <w:rFonts w:ascii="Arial" w:hAnsi="Arial" w:cs="Arial"/>
                <w:sz w:val="24"/>
              </w:rPr>
              <w:t xml:space="preserve">due to </w:t>
            </w:r>
            <w:r w:rsidR="00405D35" w:rsidRPr="00CC5FE4">
              <w:rPr>
                <w:rFonts w:ascii="Arial" w:hAnsi="Arial" w:cs="Arial"/>
                <w:sz w:val="24"/>
              </w:rPr>
              <w:t xml:space="preserve">the outcome </w:t>
            </w:r>
            <w:r w:rsidR="0081781D" w:rsidRPr="00CC5FE4">
              <w:rPr>
                <w:rFonts w:ascii="Arial" w:hAnsi="Arial" w:cs="Arial"/>
                <w:sz w:val="24"/>
              </w:rPr>
              <w:t>potentially impacting</w:t>
            </w:r>
            <w:r w:rsidR="006829B2" w:rsidRPr="00CC5FE4">
              <w:rPr>
                <w:rFonts w:ascii="Arial" w:hAnsi="Arial" w:cs="Arial"/>
                <w:sz w:val="24"/>
              </w:rPr>
              <w:t xml:space="preserve"> </w:t>
            </w:r>
            <w:r w:rsidR="000209CC" w:rsidRPr="00CC5FE4">
              <w:rPr>
                <w:rFonts w:ascii="Arial" w:hAnsi="Arial" w:cs="Arial"/>
                <w:sz w:val="24"/>
              </w:rPr>
              <w:t xml:space="preserve">the </w:t>
            </w:r>
            <w:r w:rsidR="006829B2" w:rsidRPr="00CC5FE4">
              <w:rPr>
                <w:rFonts w:ascii="Arial" w:hAnsi="Arial" w:cs="Arial"/>
                <w:sz w:val="24"/>
              </w:rPr>
              <w:t>regulatory environment for research</w:t>
            </w:r>
            <w:r w:rsidR="00FA0DE9" w:rsidRPr="00CC5FE4">
              <w:rPr>
                <w:rFonts w:ascii="Arial" w:hAnsi="Arial" w:cs="Arial"/>
                <w:sz w:val="24"/>
              </w:rPr>
              <w:t>.</w:t>
            </w:r>
          </w:p>
          <w:p w14:paraId="1D967AA4" w14:textId="77777777" w:rsidR="006829B2" w:rsidRPr="00CC5FE4" w:rsidRDefault="006829B2" w:rsidP="00AB5BE7">
            <w:pPr>
              <w:rPr>
                <w:rFonts w:ascii="Arial" w:hAnsi="Arial" w:cs="Arial"/>
                <w:sz w:val="24"/>
              </w:rPr>
            </w:pPr>
          </w:p>
          <w:p w14:paraId="30EBB2AE" w14:textId="53A5C9DE" w:rsidR="00B22DEB" w:rsidRPr="00CC5FE4" w:rsidRDefault="009505E0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[</w:t>
            </w:r>
            <w:proofErr w:type="gramStart"/>
            <w:r w:rsidRPr="00CC5FE4">
              <w:rPr>
                <w:rFonts w:ascii="Arial" w:hAnsi="Arial" w:cs="Arial"/>
                <w:sz w:val="24"/>
              </w:rPr>
              <w:t>redacted</w:t>
            </w:r>
            <w:proofErr w:type="gramEnd"/>
            <w:r w:rsidRPr="00CC5FE4">
              <w:rPr>
                <w:rFonts w:ascii="Arial" w:hAnsi="Arial" w:cs="Arial"/>
                <w:sz w:val="24"/>
              </w:rPr>
              <w:t xml:space="preserve">] </w:t>
            </w:r>
            <w:r w:rsidR="0081781D" w:rsidRPr="00CC5FE4">
              <w:rPr>
                <w:rFonts w:ascii="Arial" w:hAnsi="Arial" w:cs="Arial"/>
                <w:sz w:val="24"/>
              </w:rPr>
              <w:t>gave a brief contextual overview</w:t>
            </w:r>
            <w:r w:rsidR="000209CC" w:rsidRPr="00CC5FE4">
              <w:rPr>
                <w:rFonts w:ascii="Arial" w:hAnsi="Arial" w:cs="Arial"/>
                <w:sz w:val="24"/>
              </w:rPr>
              <w:t xml:space="preserve"> within the Ministry of Health (</w:t>
            </w:r>
            <w:proofErr w:type="spellStart"/>
            <w:r w:rsidR="000209CC" w:rsidRPr="00CC5FE4">
              <w:rPr>
                <w:rFonts w:ascii="Arial" w:hAnsi="Arial" w:cs="Arial"/>
                <w:sz w:val="24"/>
              </w:rPr>
              <w:t>MoH</w:t>
            </w:r>
            <w:proofErr w:type="spellEnd"/>
            <w:r w:rsidR="000209CC" w:rsidRPr="00CC5FE4">
              <w:rPr>
                <w:rFonts w:ascii="Arial" w:hAnsi="Arial" w:cs="Arial"/>
                <w:sz w:val="24"/>
              </w:rPr>
              <w:t>)</w:t>
            </w:r>
            <w:r w:rsidR="006829B2" w:rsidRPr="00CC5FE4">
              <w:rPr>
                <w:rFonts w:ascii="Arial" w:hAnsi="Arial" w:cs="Arial"/>
                <w:sz w:val="24"/>
              </w:rPr>
              <w:t>.</w:t>
            </w:r>
            <w:r w:rsidR="00B34D19" w:rsidRPr="00CC5FE4">
              <w:rPr>
                <w:rFonts w:ascii="Arial" w:hAnsi="Arial" w:cs="Arial"/>
                <w:sz w:val="24"/>
              </w:rPr>
              <w:t xml:space="preserve"> </w:t>
            </w:r>
            <w:r w:rsidRPr="00CC5FE4">
              <w:rPr>
                <w:rFonts w:ascii="Arial" w:hAnsi="Arial" w:cs="Arial"/>
                <w:sz w:val="24"/>
              </w:rPr>
              <w:t>[</w:t>
            </w:r>
            <w:proofErr w:type="gramStart"/>
            <w:r w:rsidRPr="00CC5FE4">
              <w:rPr>
                <w:rFonts w:ascii="Arial" w:hAnsi="Arial" w:cs="Arial"/>
                <w:sz w:val="24"/>
              </w:rPr>
              <w:t>redacted</w:t>
            </w:r>
            <w:proofErr w:type="gramEnd"/>
            <w:r w:rsidRPr="00CC5FE4">
              <w:rPr>
                <w:rFonts w:ascii="Arial" w:hAnsi="Arial" w:cs="Arial"/>
                <w:sz w:val="24"/>
              </w:rPr>
              <w:t>]</w:t>
            </w:r>
            <w:r w:rsidR="00B34D19" w:rsidRPr="00CC5FE4">
              <w:rPr>
                <w:rFonts w:ascii="Arial" w:hAnsi="Arial" w:cs="Arial"/>
                <w:sz w:val="24"/>
              </w:rPr>
              <w:t xml:space="preserve"> has been involved in therapeutic uses of</w:t>
            </w:r>
            <w:r w:rsidR="006829B2" w:rsidRPr="00CC5FE4">
              <w:rPr>
                <w:rFonts w:ascii="Arial" w:hAnsi="Arial" w:cs="Arial"/>
                <w:sz w:val="24"/>
              </w:rPr>
              <w:t xml:space="preserve"> </w:t>
            </w:r>
            <w:r w:rsidR="00B34D19" w:rsidRPr="00CC5FE4">
              <w:rPr>
                <w:rFonts w:ascii="Arial" w:hAnsi="Arial" w:cs="Arial"/>
                <w:sz w:val="24"/>
              </w:rPr>
              <w:t xml:space="preserve">controlled drugs </w:t>
            </w:r>
            <w:r w:rsidR="00FA0DE9" w:rsidRPr="00CC5FE4">
              <w:rPr>
                <w:rFonts w:ascii="Arial" w:hAnsi="Arial" w:cs="Arial"/>
                <w:sz w:val="24"/>
              </w:rPr>
              <w:t>for the last few years, with her</w:t>
            </w:r>
            <w:r w:rsidR="00B34D19" w:rsidRPr="00CC5FE4">
              <w:rPr>
                <w:rFonts w:ascii="Arial" w:hAnsi="Arial" w:cs="Arial"/>
                <w:sz w:val="24"/>
              </w:rPr>
              <w:t xml:space="preserve"> m</w:t>
            </w:r>
            <w:r w:rsidR="006829B2" w:rsidRPr="00CC5FE4">
              <w:rPr>
                <w:rFonts w:ascii="Arial" w:hAnsi="Arial" w:cs="Arial"/>
                <w:sz w:val="24"/>
              </w:rPr>
              <w:t xml:space="preserve">ain area of interest recently </w:t>
            </w:r>
            <w:r w:rsidR="00B34D19" w:rsidRPr="00CC5FE4">
              <w:rPr>
                <w:rFonts w:ascii="Arial" w:hAnsi="Arial" w:cs="Arial"/>
                <w:sz w:val="24"/>
              </w:rPr>
              <w:t xml:space="preserve">being </w:t>
            </w:r>
            <w:r w:rsidR="006829B2" w:rsidRPr="00CC5FE4">
              <w:rPr>
                <w:rFonts w:ascii="Arial" w:hAnsi="Arial" w:cs="Arial"/>
                <w:sz w:val="24"/>
              </w:rPr>
              <w:t xml:space="preserve">around medicinal cannabis. </w:t>
            </w:r>
            <w:r w:rsidR="00B34D19" w:rsidRPr="00CC5FE4">
              <w:rPr>
                <w:rFonts w:ascii="Arial" w:hAnsi="Arial" w:cs="Arial"/>
                <w:sz w:val="24"/>
              </w:rPr>
              <w:t xml:space="preserve">The </w:t>
            </w:r>
            <w:proofErr w:type="spellStart"/>
            <w:r w:rsidR="00B34D19" w:rsidRPr="00CC5FE4">
              <w:rPr>
                <w:rFonts w:ascii="Arial" w:hAnsi="Arial" w:cs="Arial"/>
                <w:sz w:val="24"/>
              </w:rPr>
              <w:t>MoH</w:t>
            </w:r>
            <w:proofErr w:type="spellEnd"/>
            <w:r w:rsidR="00B34D19" w:rsidRPr="00CC5FE4">
              <w:rPr>
                <w:rFonts w:ascii="Arial" w:hAnsi="Arial" w:cs="Arial"/>
                <w:sz w:val="24"/>
              </w:rPr>
              <w:t xml:space="preserve"> policy unit are of the understanding that Minister </w:t>
            </w:r>
            <w:r w:rsidR="006829B2" w:rsidRPr="00CC5FE4">
              <w:rPr>
                <w:rFonts w:ascii="Arial" w:hAnsi="Arial" w:cs="Arial"/>
                <w:sz w:val="24"/>
              </w:rPr>
              <w:t xml:space="preserve">Dunne </w:t>
            </w:r>
            <w:r w:rsidR="00B34D19" w:rsidRPr="00CC5FE4">
              <w:rPr>
                <w:rFonts w:ascii="Arial" w:hAnsi="Arial" w:cs="Arial"/>
                <w:sz w:val="24"/>
              </w:rPr>
              <w:t xml:space="preserve">is </w:t>
            </w:r>
            <w:r w:rsidR="006829B2" w:rsidRPr="00CC5FE4">
              <w:rPr>
                <w:rFonts w:ascii="Arial" w:hAnsi="Arial" w:cs="Arial"/>
                <w:sz w:val="24"/>
              </w:rPr>
              <w:t>comfortable around</w:t>
            </w:r>
            <w:r w:rsidR="00B34D19" w:rsidRPr="00CC5FE4">
              <w:rPr>
                <w:rFonts w:ascii="Arial" w:hAnsi="Arial" w:cs="Arial"/>
                <w:sz w:val="24"/>
              </w:rPr>
              <w:t xml:space="preserve"> the</w:t>
            </w:r>
            <w:r w:rsidR="006829B2" w:rsidRPr="00CC5FE4">
              <w:rPr>
                <w:rFonts w:ascii="Arial" w:hAnsi="Arial" w:cs="Arial"/>
                <w:sz w:val="24"/>
              </w:rPr>
              <w:t xml:space="preserve"> current </w:t>
            </w:r>
            <w:r w:rsidR="00B34D19" w:rsidRPr="00CC5FE4">
              <w:rPr>
                <w:rFonts w:ascii="Arial" w:hAnsi="Arial" w:cs="Arial"/>
                <w:sz w:val="24"/>
              </w:rPr>
              <w:t xml:space="preserve">legal </w:t>
            </w:r>
            <w:r w:rsidR="006829B2" w:rsidRPr="00CC5FE4">
              <w:rPr>
                <w:rFonts w:ascii="Arial" w:hAnsi="Arial" w:cs="Arial"/>
                <w:sz w:val="24"/>
              </w:rPr>
              <w:t>framework</w:t>
            </w:r>
            <w:r w:rsidR="00B34D19" w:rsidRPr="00CC5FE4">
              <w:rPr>
                <w:rFonts w:ascii="Arial" w:hAnsi="Arial" w:cs="Arial"/>
                <w:sz w:val="24"/>
              </w:rPr>
              <w:t xml:space="preserve"> regarding access and use of controlled drugs,</w:t>
            </w:r>
            <w:r w:rsidR="006829B2" w:rsidRPr="00CC5FE4">
              <w:rPr>
                <w:rFonts w:ascii="Arial" w:hAnsi="Arial" w:cs="Arial"/>
                <w:sz w:val="24"/>
              </w:rPr>
              <w:t xml:space="preserve"> but </w:t>
            </w:r>
            <w:r w:rsidR="00B34D19" w:rsidRPr="00CC5FE4">
              <w:rPr>
                <w:rFonts w:ascii="Arial" w:hAnsi="Arial" w:cs="Arial"/>
                <w:sz w:val="24"/>
              </w:rPr>
              <w:t xml:space="preserve">he is </w:t>
            </w:r>
            <w:r w:rsidR="006829B2" w:rsidRPr="00CC5FE4">
              <w:rPr>
                <w:rFonts w:ascii="Arial" w:hAnsi="Arial" w:cs="Arial"/>
                <w:sz w:val="24"/>
              </w:rPr>
              <w:t xml:space="preserve">interested to see if </w:t>
            </w:r>
            <w:r w:rsidR="00B34D19" w:rsidRPr="00CC5FE4">
              <w:rPr>
                <w:rFonts w:ascii="Arial" w:hAnsi="Arial" w:cs="Arial"/>
                <w:sz w:val="24"/>
              </w:rPr>
              <w:t xml:space="preserve">the policies and </w:t>
            </w:r>
            <w:r w:rsidR="006829B2" w:rsidRPr="00CC5FE4">
              <w:rPr>
                <w:rFonts w:ascii="Arial" w:hAnsi="Arial" w:cs="Arial"/>
                <w:sz w:val="24"/>
              </w:rPr>
              <w:t xml:space="preserve">processes are as streamlined as they can </w:t>
            </w:r>
            <w:r w:rsidR="00B34D19" w:rsidRPr="00CC5FE4">
              <w:rPr>
                <w:rFonts w:ascii="Arial" w:hAnsi="Arial" w:cs="Arial"/>
                <w:sz w:val="24"/>
              </w:rPr>
              <w:t>be regar</w:t>
            </w:r>
            <w:r w:rsidR="00B22DEB" w:rsidRPr="00CC5FE4">
              <w:rPr>
                <w:rFonts w:ascii="Arial" w:hAnsi="Arial" w:cs="Arial"/>
                <w:sz w:val="24"/>
              </w:rPr>
              <w:t>ding patient safety and access.</w:t>
            </w:r>
          </w:p>
          <w:p w14:paraId="5D329387" w14:textId="77777777" w:rsidR="00B22DEB" w:rsidRPr="00CC5FE4" w:rsidRDefault="00B22DEB" w:rsidP="00AB5BE7">
            <w:pPr>
              <w:rPr>
                <w:rFonts w:ascii="Arial" w:hAnsi="Arial" w:cs="Arial"/>
                <w:sz w:val="24"/>
              </w:rPr>
            </w:pPr>
          </w:p>
          <w:p w14:paraId="78528578" w14:textId="21E1DAD0" w:rsidR="006829B2" w:rsidRPr="00CC5FE4" w:rsidRDefault="00B34D19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The policy unit are currently doing work around </w:t>
            </w:r>
            <w:r w:rsidR="00C20DAA" w:rsidRPr="00CC5FE4">
              <w:rPr>
                <w:rFonts w:ascii="Arial" w:hAnsi="Arial" w:cs="Arial"/>
                <w:sz w:val="24"/>
              </w:rPr>
              <w:t xml:space="preserve">medicinal cannabis </w:t>
            </w:r>
            <w:r w:rsidRPr="00CC5FE4">
              <w:rPr>
                <w:rFonts w:ascii="Arial" w:hAnsi="Arial" w:cs="Arial"/>
                <w:sz w:val="24"/>
              </w:rPr>
              <w:t xml:space="preserve">classification </w:t>
            </w:r>
            <w:r w:rsidR="00FA0DE9" w:rsidRPr="00CC5FE4">
              <w:rPr>
                <w:rFonts w:ascii="Arial" w:hAnsi="Arial" w:cs="Arial"/>
                <w:sz w:val="24"/>
              </w:rPr>
              <w:t>in line with</w:t>
            </w:r>
            <w:r w:rsidRPr="00CC5FE4">
              <w:rPr>
                <w:rFonts w:ascii="Arial" w:hAnsi="Arial" w:cs="Arial"/>
                <w:sz w:val="24"/>
              </w:rPr>
              <w:t xml:space="preserve"> the EACD meetings consideration.</w:t>
            </w:r>
            <w:r w:rsidR="00B22DEB" w:rsidRPr="00CC5FE4">
              <w:rPr>
                <w:rFonts w:ascii="Arial" w:hAnsi="Arial" w:cs="Arial"/>
                <w:sz w:val="24"/>
              </w:rPr>
              <w:t xml:space="preserve"> </w:t>
            </w:r>
            <w:r w:rsidR="009505E0" w:rsidRPr="00CC5FE4">
              <w:rPr>
                <w:rFonts w:ascii="Arial" w:hAnsi="Arial" w:cs="Arial"/>
                <w:sz w:val="24"/>
              </w:rPr>
              <w:t>[</w:t>
            </w:r>
            <w:proofErr w:type="gramStart"/>
            <w:r w:rsidR="009505E0" w:rsidRPr="00CC5FE4">
              <w:rPr>
                <w:rFonts w:ascii="Arial" w:hAnsi="Arial" w:cs="Arial"/>
                <w:sz w:val="24"/>
              </w:rPr>
              <w:t>redacted</w:t>
            </w:r>
            <w:proofErr w:type="gramEnd"/>
            <w:r w:rsidR="009505E0" w:rsidRPr="00CC5FE4">
              <w:rPr>
                <w:rFonts w:ascii="Arial" w:hAnsi="Arial" w:cs="Arial"/>
                <w:sz w:val="24"/>
              </w:rPr>
              <w:t xml:space="preserve">] </w:t>
            </w:r>
            <w:r w:rsidRPr="00CC5FE4">
              <w:rPr>
                <w:rFonts w:ascii="Arial" w:hAnsi="Arial" w:cs="Arial"/>
                <w:sz w:val="24"/>
              </w:rPr>
              <w:t>gave a brief overview of the function of Medicines Control.</w:t>
            </w:r>
            <w:r w:rsidR="00E55D3B" w:rsidRPr="00CC5FE4">
              <w:rPr>
                <w:rFonts w:ascii="Arial" w:hAnsi="Arial" w:cs="Arial"/>
                <w:sz w:val="24"/>
              </w:rPr>
              <w:t xml:space="preserve"> Medicines Control is a regulatory unit that regulate the medicines supply chain, which includes controlled drugs. The </w:t>
            </w:r>
            <w:r w:rsidR="006829B2" w:rsidRPr="00CC5FE4">
              <w:rPr>
                <w:rFonts w:ascii="Arial" w:hAnsi="Arial" w:cs="Arial"/>
                <w:sz w:val="24"/>
              </w:rPr>
              <w:t xml:space="preserve">classification of medicinal cannabis </w:t>
            </w:r>
            <w:r w:rsidR="00E55D3B" w:rsidRPr="00CC5FE4">
              <w:rPr>
                <w:rFonts w:ascii="Arial" w:hAnsi="Arial" w:cs="Arial"/>
                <w:sz w:val="24"/>
              </w:rPr>
              <w:t xml:space="preserve">has been </w:t>
            </w:r>
            <w:r w:rsidR="006829B2" w:rsidRPr="00CC5FE4">
              <w:rPr>
                <w:rFonts w:ascii="Arial" w:hAnsi="Arial" w:cs="Arial"/>
                <w:sz w:val="24"/>
              </w:rPr>
              <w:t xml:space="preserve">quite </w:t>
            </w:r>
            <w:r w:rsidR="00E55D3B" w:rsidRPr="00CC5FE4">
              <w:rPr>
                <w:rFonts w:ascii="Arial" w:hAnsi="Arial" w:cs="Arial"/>
                <w:sz w:val="24"/>
              </w:rPr>
              <w:t>topical in the last year and whatever fina</w:t>
            </w:r>
            <w:r w:rsidR="000209CC" w:rsidRPr="00CC5FE4">
              <w:rPr>
                <w:rFonts w:ascii="Arial" w:hAnsi="Arial" w:cs="Arial"/>
                <w:sz w:val="24"/>
              </w:rPr>
              <w:t xml:space="preserve">l recommendations are made by the Committee </w:t>
            </w:r>
            <w:r w:rsidR="00E55D3B" w:rsidRPr="00CC5FE4">
              <w:rPr>
                <w:rFonts w:ascii="Arial" w:hAnsi="Arial" w:cs="Arial"/>
                <w:sz w:val="24"/>
              </w:rPr>
              <w:t xml:space="preserve">will affect </w:t>
            </w:r>
            <w:r w:rsidR="00C20DAA" w:rsidRPr="00CC5FE4">
              <w:rPr>
                <w:rFonts w:ascii="Arial" w:hAnsi="Arial" w:cs="Arial"/>
                <w:sz w:val="24"/>
              </w:rPr>
              <w:t>Medicines C</w:t>
            </w:r>
            <w:r w:rsidR="006829B2" w:rsidRPr="00CC5FE4">
              <w:rPr>
                <w:rFonts w:ascii="Arial" w:hAnsi="Arial" w:cs="Arial"/>
                <w:sz w:val="24"/>
              </w:rPr>
              <w:t xml:space="preserve">ontrol </w:t>
            </w:r>
            <w:r w:rsidR="00E55D3B" w:rsidRPr="00CC5FE4">
              <w:rPr>
                <w:rFonts w:ascii="Arial" w:hAnsi="Arial" w:cs="Arial"/>
                <w:sz w:val="24"/>
              </w:rPr>
              <w:t>as they administer licences, approvals, permissions etc.</w:t>
            </w:r>
          </w:p>
          <w:p w14:paraId="10D74E39" w14:textId="77777777" w:rsidR="006829B2" w:rsidRPr="00CC5FE4" w:rsidRDefault="006829B2" w:rsidP="00AB5BE7">
            <w:pPr>
              <w:rPr>
                <w:rFonts w:ascii="Arial" w:hAnsi="Arial" w:cs="Arial"/>
                <w:sz w:val="24"/>
              </w:rPr>
            </w:pPr>
          </w:p>
          <w:p w14:paraId="2EE09D7A" w14:textId="168C7FE0" w:rsidR="006829B2" w:rsidRPr="00CC5FE4" w:rsidRDefault="009505E0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[</w:t>
            </w:r>
            <w:proofErr w:type="gramStart"/>
            <w:r w:rsidRPr="00CC5FE4">
              <w:rPr>
                <w:rFonts w:ascii="Arial" w:hAnsi="Arial" w:cs="Arial"/>
                <w:sz w:val="24"/>
              </w:rPr>
              <w:t>redacted</w:t>
            </w:r>
            <w:proofErr w:type="gramEnd"/>
            <w:r w:rsidRPr="00CC5FE4">
              <w:rPr>
                <w:rFonts w:ascii="Arial" w:hAnsi="Arial" w:cs="Arial"/>
                <w:sz w:val="24"/>
              </w:rPr>
              <w:t xml:space="preserve">] </w:t>
            </w:r>
            <w:r w:rsidR="009C7B8E" w:rsidRPr="00CC5FE4">
              <w:rPr>
                <w:rFonts w:ascii="Arial" w:hAnsi="Arial" w:cs="Arial"/>
                <w:sz w:val="24"/>
              </w:rPr>
              <w:t>advised that c</w:t>
            </w:r>
            <w:r w:rsidR="00E55D3B" w:rsidRPr="00CC5FE4">
              <w:rPr>
                <w:rFonts w:ascii="Arial" w:hAnsi="Arial" w:cs="Arial"/>
                <w:sz w:val="24"/>
              </w:rPr>
              <w:t xml:space="preserve">urrently, if a practitioner wishes to prescribe a cannabinoid or products that contain cannabinoids, they have to make an application to the Minister. Currently there are no products containing </w:t>
            </w:r>
            <w:r w:rsidR="00C20DAA" w:rsidRPr="00CC5FE4">
              <w:rPr>
                <w:rFonts w:ascii="Arial" w:hAnsi="Arial" w:cs="Arial"/>
                <w:sz w:val="24"/>
              </w:rPr>
              <w:t xml:space="preserve">only </w:t>
            </w:r>
            <w:r w:rsidR="00E55D3B" w:rsidRPr="00CC5FE4">
              <w:rPr>
                <w:rFonts w:ascii="Arial" w:hAnsi="Arial" w:cs="Arial"/>
                <w:sz w:val="24"/>
              </w:rPr>
              <w:t>CBD that are approved medicines both domestically and internationally. There are however, a number of non-pharmaceutical products available. It was noted that there was a differenc</w:t>
            </w:r>
            <w:r w:rsidR="000209CC" w:rsidRPr="00CC5FE4">
              <w:rPr>
                <w:rFonts w:ascii="Arial" w:hAnsi="Arial" w:cs="Arial"/>
                <w:sz w:val="24"/>
              </w:rPr>
              <w:t xml:space="preserve">e of opinion between ESR and </w:t>
            </w:r>
            <w:proofErr w:type="spellStart"/>
            <w:r w:rsidR="000209CC" w:rsidRPr="00CC5FE4">
              <w:rPr>
                <w:rFonts w:ascii="Arial" w:hAnsi="Arial" w:cs="Arial"/>
                <w:sz w:val="24"/>
              </w:rPr>
              <w:t>MoH</w:t>
            </w:r>
            <w:proofErr w:type="spellEnd"/>
            <w:r w:rsidR="00E55D3B" w:rsidRPr="00CC5FE4">
              <w:rPr>
                <w:rFonts w:ascii="Arial" w:hAnsi="Arial" w:cs="Arial"/>
                <w:sz w:val="24"/>
              </w:rPr>
              <w:t xml:space="preserve"> regarding whether or not CBD </w:t>
            </w:r>
            <w:r w:rsidR="00114F66" w:rsidRPr="00CC5FE4">
              <w:rPr>
                <w:rFonts w:ascii="Arial" w:hAnsi="Arial" w:cs="Arial"/>
                <w:sz w:val="24"/>
              </w:rPr>
              <w:t>should be considered a controlled drug or not. The Therapeutic Goods Administration (TGA) in Australia have recently down-scheduled CBD to a prescription only medicine</w:t>
            </w:r>
            <w:r w:rsidR="006829B2" w:rsidRPr="00CC5FE4">
              <w:rPr>
                <w:rFonts w:ascii="Arial" w:hAnsi="Arial" w:cs="Arial"/>
                <w:sz w:val="24"/>
              </w:rPr>
              <w:t xml:space="preserve"> </w:t>
            </w:r>
            <w:r w:rsidR="00114F66" w:rsidRPr="00CC5FE4">
              <w:rPr>
                <w:rFonts w:ascii="Arial" w:hAnsi="Arial" w:cs="Arial"/>
                <w:sz w:val="24"/>
              </w:rPr>
              <w:t>with less than two percent</w:t>
            </w:r>
            <w:r w:rsidR="00856217" w:rsidRPr="00CC5FE4">
              <w:rPr>
                <w:rFonts w:ascii="Arial" w:hAnsi="Arial" w:cs="Arial"/>
                <w:sz w:val="24"/>
              </w:rPr>
              <w:t xml:space="preserve"> of other cannabinoids</w:t>
            </w:r>
            <w:r w:rsidR="00114F66" w:rsidRPr="00CC5FE4">
              <w:rPr>
                <w:rFonts w:ascii="Arial" w:hAnsi="Arial" w:cs="Arial"/>
                <w:sz w:val="24"/>
              </w:rPr>
              <w:t xml:space="preserve"> as most CBD extracts contain small amounts of </w:t>
            </w:r>
            <w:proofErr w:type="spellStart"/>
            <w:r w:rsidR="00114F66" w:rsidRPr="00CC5FE4">
              <w:rPr>
                <w:rFonts w:ascii="Arial" w:hAnsi="Arial" w:cs="Arial"/>
                <w:sz w:val="24"/>
              </w:rPr>
              <w:t>tetrahydrocannabinol</w:t>
            </w:r>
            <w:proofErr w:type="spellEnd"/>
            <w:r w:rsidR="00114F66" w:rsidRPr="00CC5FE4">
              <w:rPr>
                <w:rFonts w:ascii="Arial" w:hAnsi="Arial" w:cs="Arial"/>
                <w:sz w:val="24"/>
              </w:rPr>
              <w:t xml:space="preserve"> (THC) due to the difficulty and </w:t>
            </w:r>
            <w:r w:rsidR="000209CC" w:rsidRPr="00CC5FE4">
              <w:rPr>
                <w:rFonts w:ascii="Arial" w:hAnsi="Arial" w:cs="Arial"/>
                <w:sz w:val="24"/>
              </w:rPr>
              <w:t xml:space="preserve">associated </w:t>
            </w:r>
            <w:r w:rsidR="00114F66" w:rsidRPr="00CC5FE4">
              <w:rPr>
                <w:rFonts w:ascii="Arial" w:hAnsi="Arial" w:cs="Arial"/>
                <w:sz w:val="24"/>
              </w:rPr>
              <w:t xml:space="preserve">cost to separate the two substances. The Misuse of Drugs Act </w:t>
            </w:r>
            <w:r w:rsidR="000209CC" w:rsidRPr="00CC5FE4">
              <w:rPr>
                <w:rFonts w:ascii="Arial" w:hAnsi="Arial" w:cs="Arial"/>
                <w:sz w:val="24"/>
              </w:rPr>
              <w:t>(</w:t>
            </w:r>
            <w:proofErr w:type="spellStart"/>
            <w:r w:rsidR="000209CC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0209CC" w:rsidRPr="00CC5FE4">
              <w:rPr>
                <w:rFonts w:ascii="Arial" w:hAnsi="Arial" w:cs="Arial"/>
                <w:sz w:val="24"/>
              </w:rPr>
              <w:t xml:space="preserve">) </w:t>
            </w:r>
            <w:r w:rsidR="00114F66" w:rsidRPr="00CC5FE4">
              <w:rPr>
                <w:rFonts w:ascii="Arial" w:hAnsi="Arial" w:cs="Arial"/>
                <w:sz w:val="24"/>
              </w:rPr>
              <w:t>only requires one molecule of a controlled substance to be present in a preparation for it to be captured as a controlled drug.</w:t>
            </w:r>
          </w:p>
          <w:p w14:paraId="7A0610B5" w14:textId="77777777" w:rsidR="00856217" w:rsidRPr="00CC5FE4" w:rsidRDefault="00856217" w:rsidP="00AB5BE7">
            <w:pPr>
              <w:rPr>
                <w:rFonts w:ascii="Arial" w:hAnsi="Arial" w:cs="Arial"/>
                <w:sz w:val="24"/>
              </w:rPr>
            </w:pPr>
          </w:p>
          <w:p w14:paraId="55BBE338" w14:textId="24354432" w:rsidR="00856217" w:rsidRPr="00CC5FE4" w:rsidRDefault="00856217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There </w:t>
            </w:r>
            <w:r w:rsidR="009C7B8E" w:rsidRPr="00CC5FE4">
              <w:rPr>
                <w:rFonts w:ascii="Arial" w:hAnsi="Arial" w:cs="Arial"/>
                <w:sz w:val="24"/>
              </w:rPr>
              <w:t xml:space="preserve">is an entry in the Medicines </w:t>
            </w:r>
            <w:r w:rsidR="00FA2D45" w:rsidRPr="00CC5FE4">
              <w:rPr>
                <w:rFonts w:ascii="Arial" w:hAnsi="Arial" w:cs="Arial"/>
                <w:sz w:val="24"/>
              </w:rPr>
              <w:t xml:space="preserve">Regulations </w:t>
            </w:r>
            <w:r w:rsidRPr="00CC5FE4">
              <w:rPr>
                <w:rFonts w:ascii="Arial" w:hAnsi="Arial" w:cs="Arial"/>
                <w:sz w:val="24"/>
              </w:rPr>
              <w:t xml:space="preserve">for CBD </w:t>
            </w:r>
            <w:r w:rsidR="009C7B8E" w:rsidRPr="00CC5FE4">
              <w:rPr>
                <w:rFonts w:ascii="Arial" w:hAnsi="Arial" w:cs="Arial"/>
                <w:sz w:val="24"/>
              </w:rPr>
              <w:t xml:space="preserve">as a prescription medicine, however, if it is also considered a controlled </w:t>
            </w:r>
            <w:r w:rsidR="00770B4C" w:rsidRPr="00CC5FE4">
              <w:rPr>
                <w:rFonts w:ascii="Arial" w:hAnsi="Arial" w:cs="Arial"/>
                <w:sz w:val="24"/>
              </w:rPr>
              <w:t xml:space="preserve">drug, then </w:t>
            </w:r>
            <w:proofErr w:type="spellStart"/>
            <w:r w:rsidR="00770B4C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770B4C" w:rsidRPr="00CC5FE4">
              <w:rPr>
                <w:rFonts w:ascii="Arial" w:hAnsi="Arial" w:cs="Arial"/>
                <w:sz w:val="24"/>
              </w:rPr>
              <w:t xml:space="preserve"> acts as</w:t>
            </w:r>
            <w:r w:rsidR="009C7B8E" w:rsidRPr="00CC5FE4">
              <w:rPr>
                <w:rFonts w:ascii="Arial" w:hAnsi="Arial" w:cs="Arial"/>
                <w:sz w:val="24"/>
              </w:rPr>
              <w:t xml:space="preserve"> the dominant piece of legislation</w:t>
            </w:r>
            <w:r w:rsidR="000209CC" w:rsidRPr="00CC5FE4">
              <w:rPr>
                <w:rFonts w:ascii="Arial" w:hAnsi="Arial" w:cs="Arial"/>
                <w:sz w:val="24"/>
              </w:rPr>
              <w:t>.</w:t>
            </w:r>
          </w:p>
          <w:p w14:paraId="2408B1BD" w14:textId="77777777" w:rsidR="00856217" w:rsidRPr="00CC5FE4" w:rsidRDefault="00856217" w:rsidP="00AB5BE7">
            <w:pPr>
              <w:rPr>
                <w:rFonts w:ascii="Arial" w:hAnsi="Arial" w:cs="Arial"/>
                <w:sz w:val="24"/>
              </w:rPr>
            </w:pPr>
          </w:p>
          <w:p w14:paraId="7C9763B1" w14:textId="042EA321" w:rsidR="009C7B8E" w:rsidRPr="00CC5FE4" w:rsidRDefault="009C7B8E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The technical paper looked at </w:t>
            </w:r>
            <w:r w:rsidR="00FA0DE9" w:rsidRPr="00CC5FE4">
              <w:rPr>
                <w:rFonts w:ascii="Arial" w:hAnsi="Arial" w:cs="Arial"/>
                <w:sz w:val="24"/>
              </w:rPr>
              <w:t>the potential therapeutic effects of CBD in comparison to the abuse potential. T</w:t>
            </w:r>
            <w:r w:rsidRPr="00CC5FE4">
              <w:rPr>
                <w:rFonts w:ascii="Arial" w:hAnsi="Arial" w:cs="Arial"/>
                <w:sz w:val="24"/>
              </w:rPr>
              <w:t xml:space="preserve">he Committee had been asked to determine whether or not there was sufficient evidence to make a recommendation for </w:t>
            </w:r>
            <w:r w:rsidR="00514656" w:rsidRPr="00CC5FE4">
              <w:rPr>
                <w:rFonts w:ascii="Arial" w:hAnsi="Arial" w:cs="Arial"/>
                <w:sz w:val="24"/>
              </w:rPr>
              <w:t xml:space="preserve">de-scheduling CBD from being captured under </w:t>
            </w:r>
            <w:proofErr w:type="spellStart"/>
            <w:r w:rsidR="00514656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514656" w:rsidRPr="00CC5FE4">
              <w:rPr>
                <w:rFonts w:ascii="Arial" w:hAnsi="Arial" w:cs="Arial"/>
                <w:sz w:val="24"/>
              </w:rPr>
              <w:t xml:space="preserve"> so that it is classified as a prescription medicine only</w:t>
            </w:r>
            <w:r w:rsidR="00FA0DE9" w:rsidRPr="00CC5FE4">
              <w:rPr>
                <w:rFonts w:ascii="Arial" w:hAnsi="Arial" w:cs="Arial"/>
                <w:sz w:val="24"/>
              </w:rPr>
              <w:t xml:space="preserve">. The Committee was also asked to consider an amendment allowing </w:t>
            </w:r>
            <w:r w:rsidR="00520869" w:rsidRPr="00CC5FE4">
              <w:rPr>
                <w:rFonts w:ascii="Arial" w:hAnsi="Arial" w:cs="Arial"/>
                <w:sz w:val="24"/>
              </w:rPr>
              <w:t xml:space="preserve">CBD preparations to </w:t>
            </w:r>
            <w:proofErr w:type="spellStart"/>
            <w:r w:rsidR="00520869" w:rsidRPr="00CC5FE4">
              <w:rPr>
                <w:rFonts w:ascii="Arial" w:hAnsi="Arial" w:cs="Arial"/>
                <w:sz w:val="24"/>
              </w:rPr>
              <w:t>contatin</w:t>
            </w:r>
            <w:proofErr w:type="spellEnd"/>
            <w:r w:rsidR="00520869" w:rsidRPr="00CC5FE4">
              <w:rPr>
                <w:rFonts w:ascii="Arial" w:hAnsi="Arial" w:cs="Arial"/>
                <w:sz w:val="24"/>
              </w:rPr>
              <w:t xml:space="preserve"> THC and</w:t>
            </w:r>
            <w:r w:rsidR="00FA0DE9" w:rsidRPr="00CC5FE4">
              <w:rPr>
                <w:rFonts w:ascii="Arial" w:hAnsi="Arial" w:cs="Arial"/>
                <w:sz w:val="24"/>
              </w:rPr>
              <w:t xml:space="preserve"> other cannabinoids found in cannabis up to a certain threshold to </w:t>
            </w:r>
            <w:r w:rsidR="00520869" w:rsidRPr="00CC5FE4">
              <w:rPr>
                <w:rFonts w:ascii="Arial" w:hAnsi="Arial" w:cs="Arial"/>
                <w:sz w:val="24"/>
              </w:rPr>
              <w:t xml:space="preserve">enable </w:t>
            </w:r>
            <w:r w:rsidR="00FA0DE9" w:rsidRPr="00CC5FE4">
              <w:rPr>
                <w:rFonts w:ascii="Arial" w:hAnsi="Arial" w:cs="Arial"/>
                <w:sz w:val="24"/>
              </w:rPr>
              <w:t>the de-scheduling of CBD to take effect. The Committee considered the options for streamlining medical access to CBD as a controlled drug.</w:t>
            </w:r>
          </w:p>
          <w:p w14:paraId="56D87ACE" w14:textId="77777777" w:rsidR="009C7B8E" w:rsidRPr="00CC5FE4" w:rsidRDefault="009C7B8E" w:rsidP="00AB5BE7">
            <w:pPr>
              <w:rPr>
                <w:rFonts w:ascii="Arial" w:hAnsi="Arial" w:cs="Arial"/>
                <w:sz w:val="24"/>
              </w:rPr>
            </w:pPr>
          </w:p>
          <w:p w14:paraId="49EC1444" w14:textId="0492E2D7" w:rsidR="006F2C89" w:rsidRPr="00CC5FE4" w:rsidRDefault="009505E0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[redacted] </w:t>
            </w:r>
            <w:r w:rsidR="00770B4C" w:rsidRPr="00CC5FE4">
              <w:rPr>
                <w:rFonts w:ascii="Arial" w:hAnsi="Arial" w:cs="Arial"/>
                <w:sz w:val="24"/>
              </w:rPr>
              <w:t xml:space="preserve">advised that there were </w:t>
            </w:r>
            <w:r w:rsidR="00FA2D45" w:rsidRPr="00CC5FE4">
              <w:rPr>
                <w:rFonts w:ascii="Arial" w:hAnsi="Arial" w:cs="Arial"/>
                <w:sz w:val="24"/>
              </w:rPr>
              <w:t xml:space="preserve">some </w:t>
            </w:r>
            <w:r w:rsidR="00770B4C" w:rsidRPr="00CC5FE4">
              <w:rPr>
                <w:rFonts w:ascii="Arial" w:hAnsi="Arial" w:cs="Arial"/>
                <w:sz w:val="24"/>
              </w:rPr>
              <w:t xml:space="preserve">controlled drugs that had been exempted from the ministerial approval requirements process as they had been specifically named as exempt </w:t>
            </w:r>
            <w:r w:rsidR="000D747C" w:rsidRPr="00CC5FE4">
              <w:rPr>
                <w:rFonts w:ascii="Arial" w:hAnsi="Arial" w:cs="Arial"/>
                <w:sz w:val="24"/>
              </w:rPr>
              <w:t xml:space="preserve">as medicines </w:t>
            </w:r>
            <w:r w:rsidR="00770B4C" w:rsidRPr="00CC5FE4">
              <w:rPr>
                <w:rFonts w:ascii="Arial" w:hAnsi="Arial" w:cs="Arial"/>
                <w:sz w:val="24"/>
              </w:rPr>
              <w:t xml:space="preserve">under the </w:t>
            </w:r>
            <w:r w:rsidR="000C2C6C" w:rsidRPr="00CC5FE4">
              <w:rPr>
                <w:rFonts w:ascii="Arial" w:hAnsi="Arial" w:cs="Arial"/>
                <w:sz w:val="24"/>
              </w:rPr>
              <w:t>Misuse of Drugs Regulations</w:t>
            </w:r>
            <w:r w:rsidR="00770B4C" w:rsidRPr="00CC5FE4">
              <w:rPr>
                <w:rFonts w:ascii="Arial" w:hAnsi="Arial" w:cs="Arial"/>
                <w:sz w:val="24"/>
              </w:rPr>
              <w:t xml:space="preserve">. Blanket </w:t>
            </w:r>
            <w:r w:rsidR="00150121" w:rsidRPr="00CC5FE4">
              <w:rPr>
                <w:rFonts w:ascii="Arial" w:hAnsi="Arial" w:cs="Arial"/>
                <w:sz w:val="24"/>
              </w:rPr>
              <w:t xml:space="preserve">or general </w:t>
            </w:r>
            <w:r w:rsidR="00770B4C" w:rsidRPr="00CC5FE4">
              <w:rPr>
                <w:rFonts w:ascii="Arial" w:hAnsi="Arial" w:cs="Arial"/>
                <w:sz w:val="24"/>
              </w:rPr>
              <w:t>approvals</w:t>
            </w:r>
            <w:r w:rsidR="00150121" w:rsidRPr="00CC5FE4">
              <w:rPr>
                <w:rFonts w:ascii="Arial" w:hAnsi="Arial" w:cs="Arial"/>
                <w:sz w:val="24"/>
              </w:rPr>
              <w:t>,</w:t>
            </w:r>
            <w:r w:rsidR="00770B4C" w:rsidRPr="00CC5FE4">
              <w:rPr>
                <w:rFonts w:ascii="Arial" w:hAnsi="Arial" w:cs="Arial"/>
                <w:sz w:val="24"/>
              </w:rPr>
              <w:t xml:space="preserve"> </w:t>
            </w:r>
            <w:r w:rsidR="00150121" w:rsidRPr="00CC5FE4">
              <w:rPr>
                <w:rFonts w:ascii="Arial" w:hAnsi="Arial" w:cs="Arial"/>
                <w:sz w:val="24"/>
              </w:rPr>
              <w:t xml:space="preserve">permissible under Regulation 22 of the Misuse of Drugs </w:t>
            </w:r>
            <w:r w:rsidR="00150121" w:rsidRPr="00CC5FE4">
              <w:rPr>
                <w:rFonts w:ascii="Arial" w:hAnsi="Arial" w:cs="Arial"/>
                <w:sz w:val="24"/>
              </w:rPr>
              <w:lastRenderedPageBreak/>
              <w:t xml:space="preserve">Regulations, </w:t>
            </w:r>
            <w:r w:rsidR="00770B4C" w:rsidRPr="00CC5FE4">
              <w:rPr>
                <w:rFonts w:ascii="Arial" w:hAnsi="Arial" w:cs="Arial"/>
                <w:sz w:val="24"/>
              </w:rPr>
              <w:t xml:space="preserve">have also been issued </w:t>
            </w:r>
            <w:r w:rsidR="00150121" w:rsidRPr="00CC5FE4">
              <w:rPr>
                <w:rFonts w:ascii="Arial" w:hAnsi="Arial" w:cs="Arial"/>
                <w:sz w:val="24"/>
              </w:rPr>
              <w:t xml:space="preserve">to supply prescribe and administer </w:t>
            </w:r>
            <w:r w:rsidR="00770B4C" w:rsidRPr="00CC5FE4">
              <w:rPr>
                <w:rFonts w:ascii="Arial" w:hAnsi="Arial" w:cs="Arial"/>
                <w:sz w:val="24"/>
              </w:rPr>
              <w:t xml:space="preserve">certain controlled </w:t>
            </w:r>
            <w:proofErr w:type="gramStart"/>
            <w:r w:rsidR="00770B4C" w:rsidRPr="00CC5FE4">
              <w:rPr>
                <w:rFonts w:ascii="Arial" w:hAnsi="Arial" w:cs="Arial"/>
                <w:sz w:val="24"/>
              </w:rPr>
              <w:t>substances .</w:t>
            </w:r>
            <w:proofErr w:type="gramEnd"/>
            <w:r w:rsidR="00770B4C" w:rsidRPr="00CC5FE4">
              <w:rPr>
                <w:rFonts w:ascii="Arial" w:hAnsi="Arial" w:cs="Arial"/>
                <w:sz w:val="24"/>
              </w:rPr>
              <w:t xml:space="preserve"> There are m</w:t>
            </w:r>
            <w:r w:rsidR="00856217" w:rsidRPr="00CC5FE4">
              <w:rPr>
                <w:rFonts w:ascii="Arial" w:hAnsi="Arial" w:cs="Arial"/>
                <w:sz w:val="24"/>
              </w:rPr>
              <w:t xml:space="preserve">ultiple avenues </w:t>
            </w:r>
            <w:r w:rsidR="00EA3D32" w:rsidRPr="00CC5FE4">
              <w:rPr>
                <w:rFonts w:ascii="Arial" w:hAnsi="Arial" w:cs="Arial"/>
                <w:sz w:val="24"/>
              </w:rPr>
              <w:t xml:space="preserve">that could be </w:t>
            </w:r>
            <w:r w:rsidR="00856217" w:rsidRPr="00CC5FE4">
              <w:rPr>
                <w:rFonts w:ascii="Arial" w:hAnsi="Arial" w:cs="Arial"/>
                <w:sz w:val="24"/>
              </w:rPr>
              <w:t>consider</w:t>
            </w:r>
            <w:r w:rsidR="00EA3D32" w:rsidRPr="00CC5FE4">
              <w:rPr>
                <w:rFonts w:ascii="Arial" w:hAnsi="Arial" w:cs="Arial"/>
                <w:sz w:val="24"/>
              </w:rPr>
              <w:t>ed</w:t>
            </w:r>
            <w:r w:rsidR="00770B4C" w:rsidRPr="00CC5FE4">
              <w:rPr>
                <w:rFonts w:ascii="Arial" w:hAnsi="Arial" w:cs="Arial"/>
                <w:sz w:val="24"/>
              </w:rPr>
              <w:t xml:space="preserve"> with regard to what mechanisms are available to streamline the process to access CBD based medicines, however, the main</w:t>
            </w:r>
            <w:r w:rsidR="00856217" w:rsidRPr="00CC5FE4">
              <w:rPr>
                <w:rFonts w:ascii="Arial" w:hAnsi="Arial" w:cs="Arial"/>
                <w:sz w:val="24"/>
              </w:rPr>
              <w:t xml:space="preserve"> driver for t</w:t>
            </w:r>
            <w:r w:rsidR="00770B4C" w:rsidRPr="00CC5FE4">
              <w:rPr>
                <w:rFonts w:ascii="Arial" w:hAnsi="Arial" w:cs="Arial"/>
                <w:sz w:val="24"/>
              </w:rPr>
              <w:t>he reclassification of CBD</w:t>
            </w:r>
            <w:r w:rsidR="00856217" w:rsidRPr="00CC5FE4">
              <w:rPr>
                <w:rFonts w:ascii="Arial" w:hAnsi="Arial" w:cs="Arial"/>
                <w:sz w:val="24"/>
              </w:rPr>
              <w:t xml:space="preserve"> is the </w:t>
            </w:r>
            <w:r w:rsidR="00770B4C" w:rsidRPr="00CC5FE4">
              <w:rPr>
                <w:rFonts w:ascii="Arial" w:hAnsi="Arial" w:cs="Arial"/>
                <w:sz w:val="24"/>
              </w:rPr>
              <w:t xml:space="preserve">TGA decision </w:t>
            </w:r>
            <w:r w:rsidR="006F2C89" w:rsidRPr="00CC5FE4">
              <w:rPr>
                <w:rFonts w:ascii="Arial" w:hAnsi="Arial" w:cs="Arial"/>
                <w:sz w:val="24"/>
              </w:rPr>
              <w:t>because they have</w:t>
            </w:r>
            <w:r w:rsidR="00770B4C" w:rsidRPr="00CC5FE4">
              <w:rPr>
                <w:rFonts w:ascii="Arial" w:hAnsi="Arial" w:cs="Arial"/>
                <w:sz w:val="24"/>
              </w:rPr>
              <w:t xml:space="preserve"> set a new approach</w:t>
            </w:r>
            <w:r w:rsidR="00514656" w:rsidRPr="00CC5FE4">
              <w:rPr>
                <w:rFonts w:ascii="Arial" w:hAnsi="Arial" w:cs="Arial"/>
                <w:sz w:val="24"/>
              </w:rPr>
              <w:t xml:space="preserve"> to cannabinoid based medicines.</w:t>
            </w:r>
          </w:p>
          <w:p w14:paraId="00D24FF8" w14:textId="77777777" w:rsidR="006F2C89" w:rsidRPr="00CC5FE4" w:rsidRDefault="006F2C89" w:rsidP="00AB5BE7">
            <w:pPr>
              <w:rPr>
                <w:rFonts w:ascii="Arial" w:hAnsi="Arial" w:cs="Arial"/>
                <w:sz w:val="24"/>
              </w:rPr>
            </w:pPr>
          </w:p>
          <w:p w14:paraId="1F5299B7" w14:textId="39595D92" w:rsidR="002C2F65" w:rsidRPr="00CC5FE4" w:rsidRDefault="009505E0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[</w:t>
            </w:r>
            <w:proofErr w:type="gramStart"/>
            <w:r w:rsidRPr="00CC5FE4">
              <w:rPr>
                <w:rFonts w:ascii="Arial" w:hAnsi="Arial" w:cs="Arial"/>
                <w:sz w:val="24"/>
              </w:rPr>
              <w:t>redacted</w:t>
            </w:r>
            <w:proofErr w:type="gramEnd"/>
            <w:r w:rsidRPr="00CC5FE4">
              <w:rPr>
                <w:rFonts w:ascii="Arial" w:hAnsi="Arial" w:cs="Arial"/>
                <w:sz w:val="24"/>
              </w:rPr>
              <w:t xml:space="preserve">] </w:t>
            </w:r>
            <w:r w:rsidR="006F2C89" w:rsidRPr="00CC5FE4">
              <w:rPr>
                <w:rFonts w:ascii="Arial" w:hAnsi="Arial" w:cs="Arial"/>
                <w:sz w:val="24"/>
              </w:rPr>
              <w:t xml:space="preserve">spoke to the notes submitted by </w:t>
            </w:r>
            <w:r w:rsidRPr="00CC5FE4">
              <w:rPr>
                <w:rFonts w:ascii="Arial" w:hAnsi="Arial" w:cs="Arial"/>
                <w:sz w:val="24"/>
              </w:rPr>
              <w:t xml:space="preserve">[redacted] </w:t>
            </w:r>
            <w:r w:rsidR="00AD1A2B" w:rsidRPr="00CC5FE4">
              <w:rPr>
                <w:rFonts w:ascii="Arial" w:hAnsi="Arial" w:cs="Arial"/>
                <w:sz w:val="24"/>
              </w:rPr>
              <w:t xml:space="preserve">which covered a few issues with the current legislation. </w:t>
            </w:r>
            <w:r w:rsidRPr="00CC5FE4">
              <w:rPr>
                <w:rFonts w:ascii="Arial" w:hAnsi="Arial" w:cs="Arial"/>
                <w:sz w:val="24"/>
              </w:rPr>
              <w:t>[redacted]</w:t>
            </w:r>
            <w:r w:rsidR="00AD1A2B" w:rsidRPr="00CC5FE4">
              <w:rPr>
                <w:rFonts w:ascii="Arial" w:hAnsi="Arial" w:cs="Arial"/>
                <w:sz w:val="24"/>
              </w:rPr>
              <w:t xml:space="preserve"> also </w:t>
            </w:r>
            <w:r w:rsidR="00856217" w:rsidRPr="00CC5FE4">
              <w:rPr>
                <w:rFonts w:ascii="Arial" w:hAnsi="Arial" w:cs="Arial"/>
                <w:sz w:val="24"/>
              </w:rPr>
              <w:t>advised t</w:t>
            </w:r>
            <w:r w:rsidR="006F2C89" w:rsidRPr="00CC5FE4">
              <w:rPr>
                <w:rFonts w:ascii="Arial" w:hAnsi="Arial" w:cs="Arial"/>
                <w:sz w:val="24"/>
              </w:rPr>
              <w:t xml:space="preserve">hat </w:t>
            </w:r>
            <w:r w:rsidR="0065156C" w:rsidRPr="00CC5FE4">
              <w:rPr>
                <w:rFonts w:ascii="Arial" w:hAnsi="Arial" w:cs="Arial"/>
                <w:sz w:val="24"/>
              </w:rPr>
              <w:t xml:space="preserve">although CBD does have the same molecular formula, </w:t>
            </w:r>
            <w:r w:rsidR="006F2C89" w:rsidRPr="00CC5FE4">
              <w:rPr>
                <w:rFonts w:ascii="Arial" w:hAnsi="Arial" w:cs="Arial"/>
                <w:sz w:val="24"/>
              </w:rPr>
              <w:t xml:space="preserve">ESR do not consider CBD as an isomer of THC within the specific chemical designation under </w:t>
            </w:r>
            <w:proofErr w:type="spellStart"/>
            <w:r w:rsidR="006F2C89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65156C" w:rsidRPr="00CC5FE4">
              <w:rPr>
                <w:rFonts w:ascii="Arial" w:hAnsi="Arial" w:cs="Arial"/>
                <w:sz w:val="24"/>
              </w:rPr>
              <w:t xml:space="preserve"> as </w:t>
            </w:r>
            <w:r w:rsidR="00603AA1" w:rsidRPr="00CC5FE4">
              <w:rPr>
                <w:rFonts w:ascii="Arial" w:hAnsi="Arial" w:cs="Arial"/>
                <w:sz w:val="24"/>
              </w:rPr>
              <w:t xml:space="preserve">CBD is </w:t>
            </w:r>
            <w:r w:rsidR="0065486A" w:rsidRPr="00CC5FE4">
              <w:rPr>
                <w:rFonts w:ascii="Arial" w:hAnsi="Arial" w:cs="Arial"/>
                <w:sz w:val="24"/>
              </w:rPr>
              <w:t>significantly different in structure from THC</w:t>
            </w:r>
            <w:r w:rsidR="0065156C" w:rsidRPr="00CC5FE4">
              <w:rPr>
                <w:rFonts w:ascii="Arial" w:hAnsi="Arial" w:cs="Arial"/>
                <w:sz w:val="24"/>
              </w:rPr>
              <w:t xml:space="preserve"> and is not explicitly</w:t>
            </w:r>
            <w:r w:rsidR="00603AA1" w:rsidRPr="00CC5FE4">
              <w:rPr>
                <w:rFonts w:ascii="Arial" w:hAnsi="Arial" w:cs="Arial"/>
                <w:sz w:val="24"/>
              </w:rPr>
              <w:t xml:space="preserve"> named under the legislation. ESR also do a lot of testing for hemp growers who have expressed interest in information regarding CBD content of hemp plants and hemp fibre for therapeutic use. </w:t>
            </w:r>
            <w:r w:rsidR="00AD1A2B" w:rsidRPr="00CC5FE4">
              <w:rPr>
                <w:rFonts w:ascii="Arial" w:hAnsi="Arial" w:cs="Arial"/>
                <w:sz w:val="24"/>
              </w:rPr>
              <w:t>Another point of consideration is that more clarification around what is considered the definition of medicinal cannabis is needed.</w:t>
            </w:r>
          </w:p>
          <w:p w14:paraId="3EDFB2EF" w14:textId="77777777" w:rsidR="005E2732" w:rsidRPr="00CC5FE4" w:rsidRDefault="005E2732" w:rsidP="00AB5BE7">
            <w:pPr>
              <w:rPr>
                <w:rFonts w:ascii="Arial" w:hAnsi="Arial" w:cs="Arial"/>
                <w:sz w:val="24"/>
              </w:rPr>
            </w:pPr>
          </w:p>
          <w:p w14:paraId="26E05BAC" w14:textId="77777777" w:rsidR="000E5B42" w:rsidRPr="00CC5FE4" w:rsidRDefault="0033346F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Research in this area can be difficult due to the </w:t>
            </w:r>
            <w:r w:rsidR="006F2C89" w:rsidRPr="00CC5FE4">
              <w:rPr>
                <w:rFonts w:ascii="Arial" w:hAnsi="Arial" w:cs="Arial"/>
                <w:sz w:val="24"/>
              </w:rPr>
              <w:t>bureaucratic</w:t>
            </w:r>
            <w:r w:rsidRPr="00CC5FE4">
              <w:rPr>
                <w:rFonts w:ascii="Arial" w:hAnsi="Arial" w:cs="Arial"/>
                <w:sz w:val="24"/>
              </w:rPr>
              <w:t xml:space="preserve"> layer</w:t>
            </w:r>
            <w:r w:rsidR="0065156C" w:rsidRPr="00CC5FE4">
              <w:rPr>
                <w:rFonts w:ascii="Arial" w:hAnsi="Arial" w:cs="Arial"/>
                <w:sz w:val="24"/>
              </w:rPr>
              <w:t>s</w:t>
            </w:r>
            <w:r w:rsidRPr="00CC5FE4">
              <w:rPr>
                <w:rFonts w:ascii="Arial" w:hAnsi="Arial" w:cs="Arial"/>
                <w:sz w:val="24"/>
              </w:rPr>
              <w:t xml:space="preserve"> to obta</w:t>
            </w:r>
            <w:r w:rsidR="005D528F" w:rsidRPr="00CC5FE4">
              <w:rPr>
                <w:rFonts w:ascii="Arial" w:hAnsi="Arial" w:cs="Arial"/>
                <w:sz w:val="24"/>
              </w:rPr>
              <w:t xml:space="preserve">in permission. Moving </w:t>
            </w:r>
            <w:r w:rsidR="00D63EDD" w:rsidRPr="00CC5FE4">
              <w:rPr>
                <w:rFonts w:ascii="Arial" w:hAnsi="Arial" w:cs="Arial"/>
                <w:sz w:val="24"/>
              </w:rPr>
              <w:t xml:space="preserve">CBD out of </w:t>
            </w:r>
            <w:proofErr w:type="spellStart"/>
            <w:r w:rsidR="00D63EDD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would remove those controls but would still need to address the THC component of the argument</w:t>
            </w:r>
            <w:r w:rsidR="005E2732" w:rsidRPr="00CC5FE4">
              <w:rPr>
                <w:rFonts w:ascii="Arial" w:hAnsi="Arial" w:cs="Arial"/>
                <w:sz w:val="24"/>
              </w:rPr>
              <w:t xml:space="preserve"> </w:t>
            </w:r>
            <w:r w:rsidR="00FE4E30" w:rsidRPr="00CC5FE4">
              <w:rPr>
                <w:rFonts w:ascii="Arial" w:hAnsi="Arial" w:cs="Arial"/>
                <w:sz w:val="24"/>
              </w:rPr>
              <w:t>as THC</w:t>
            </w:r>
            <w:r w:rsidR="005E2732" w:rsidRPr="00CC5FE4">
              <w:rPr>
                <w:rFonts w:ascii="Arial" w:hAnsi="Arial" w:cs="Arial"/>
                <w:sz w:val="24"/>
              </w:rPr>
              <w:t xml:space="preserve"> is specifically named as a controlled drug under </w:t>
            </w:r>
            <w:proofErr w:type="spellStart"/>
            <w:r w:rsidR="005E2732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>.</w:t>
            </w:r>
            <w:r w:rsidR="007C7748" w:rsidRPr="00CC5FE4">
              <w:rPr>
                <w:rFonts w:ascii="Arial" w:hAnsi="Arial" w:cs="Arial"/>
                <w:sz w:val="24"/>
              </w:rPr>
              <w:t xml:space="preserve"> More research is required regarding t</w:t>
            </w:r>
            <w:r w:rsidR="005E2732" w:rsidRPr="00CC5FE4">
              <w:rPr>
                <w:rFonts w:ascii="Arial" w:hAnsi="Arial" w:cs="Arial"/>
                <w:sz w:val="24"/>
              </w:rPr>
              <w:t>he potential associated risks</w:t>
            </w:r>
            <w:r w:rsidR="00D63EDD" w:rsidRPr="00CC5FE4">
              <w:rPr>
                <w:rFonts w:ascii="Arial" w:hAnsi="Arial" w:cs="Arial"/>
                <w:sz w:val="24"/>
              </w:rPr>
              <w:t>,</w:t>
            </w:r>
            <w:r w:rsidR="005E2732" w:rsidRPr="00CC5FE4">
              <w:rPr>
                <w:rFonts w:ascii="Arial" w:hAnsi="Arial" w:cs="Arial"/>
                <w:sz w:val="24"/>
              </w:rPr>
              <w:t xml:space="preserve"> however,</w:t>
            </w:r>
            <w:r w:rsidR="007C7748" w:rsidRPr="00CC5FE4">
              <w:rPr>
                <w:rFonts w:ascii="Arial" w:hAnsi="Arial" w:cs="Arial"/>
                <w:sz w:val="24"/>
              </w:rPr>
              <w:t xml:space="preserve"> the risk of </w:t>
            </w:r>
            <w:r w:rsidR="005E2732" w:rsidRPr="00CC5FE4">
              <w:rPr>
                <w:rFonts w:ascii="Arial" w:hAnsi="Arial" w:cs="Arial"/>
                <w:sz w:val="24"/>
              </w:rPr>
              <w:t xml:space="preserve">CBD </w:t>
            </w:r>
            <w:r w:rsidR="007C7748" w:rsidRPr="00CC5FE4">
              <w:rPr>
                <w:rFonts w:ascii="Arial" w:hAnsi="Arial" w:cs="Arial"/>
                <w:sz w:val="24"/>
              </w:rPr>
              <w:t xml:space="preserve">causing psychoactive </w:t>
            </w:r>
            <w:r w:rsidR="000E5B42" w:rsidRPr="00CC5FE4">
              <w:rPr>
                <w:rFonts w:ascii="Arial" w:hAnsi="Arial" w:cs="Arial"/>
                <w:sz w:val="24"/>
              </w:rPr>
              <w:t xml:space="preserve">harm is </w:t>
            </w:r>
            <w:r w:rsidR="002C2F65" w:rsidRPr="00CC5FE4">
              <w:rPr>
                <w:rFonts w:ascii="Arial" w:hAnsi="Arial" w:cs="Arial"/>
                <w:sz w:val="24"/>
              </w:rPr>
              <w:t xml:space="preserve">very </w:t>
            </w:r>
            <w:r w:rsidR="000E5B42" w:rsidRPr="00CC5FE4">
              <w:rPr>
                <w:rFonts w:ascii="Arial" w:hAnsi="Arial" w:cs="Arial"/>
                <w:sz w:val="24"/>
              </w:rPr>
              <w:t xml:space="preserve">low as CBD on </w:t>
            </w:r>
            <w:r w:rsidR="002C2F65" w:rsidRPr="00CC5FE4">
              <w:rPr>
                <w:rFonts w:ascii="Arial" w:hAnsi="Arial" w:cs="Arial"/>
                <w:sz w:val="24"/>
              </w:rPr>
              <w:t>its</w:t>
            </w:r>
            <w:r w:rsidR="000E5B42" w:rsidRPr="00CC5FE4">
              <w:rPr>
                <w:rFonts w:ascii="Arial" w:hAnsi="Arial" w:cs="Arial"/>
                <w:sz w:val="24"/>
              </w:rPr>
              <w:t xml:space="preserve"> own does not produce psychoactive effects.</w:t>
            </w:r>
            <w:r w:rsidR="00A751EF" w:rsidRPr="00CC5FE4">
              <w:rPr>
                <w:rFonts w:ascii="Arial" w:hAnsi="Arial" w:cs="Arial"/>
                <w:sz w:val="24"/>
              </w:rPr>
              <w:t xml:space="preserve"> It was also noted that approved prescription medicines have to meet quite stringent requirements regarding controls around dosage, concentration and stability among other </w:t>
            </w:r>
            <w:r w:rsidR="008759BA" w:rsidRPr="00CC5FE4">
              <w:rPr>
                <w:rFonts w:ascii="Arial" w:hAnsi="Arial" w:cs="Arial"/>
                <w:sz w:val="24"/>
              </w:rPr>
              <w:t xml:space="preserve">testing </w:t>
            </w:r>
            <w:r w:rsidR="00D63EDD" w:rsidRPr="00CC5FE4">
              <w:rPr>
                <w:rFonts w:ascii="Arial" w:hAnsi="Arial" w:cs="Arial"/>
                <w:sz w:val="24"/>
              </w:rPr>
              <w:t>criteria</w:t>
            </w:r>
            <w:r w:rsidR="00A751EF" w:rsidRPr="00CC5FE4">
              <w:rPr>
                <w:rFonts w:ascii="Arial" w:hAnsi="Arial" w:cs="Arial"/>
                <w:sz w:val="24"/>
              </w:rPr>
              <w:t>.</w:t>
            </w:r>
          </w:p>
          <w:p w14:paraId="08299361" w14:textId="77777777" w:rsidR="00A751EF" w:rsidRPr="00CC5FE4" w:rsidRDefault="00A751EF" w:rsidP="00AB5BE7">
            <w:pPr>
              <w:rPr>
                <w:rFonts w:ascii="Arial" w:hAnsi="Arial" w:cs="Arial"/>
                <w:sz w:val="24"/>
              </w:rPr>
            </w:pPr>
          </w:p>
          <w:p w14:paraId="3E07A510" w14:textId="12150549" w:rsidR="00A751EF" w:rsidRPr="00CC5FE4" w:rsidRDefault="00A751EF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Currently, under s</w:t>
            </w:r>
            <w:r w:rsidR="00FE4E30" w:rsidRPr="00CC5FE4">
              <w:rPr>
                <w:rFonts w:ascii="Arial" w:hAnsi="Arial" w:cs="Arial"/>
                <w:sz w:val="24"/>
              </w:rPr>
              <w:t>ection 29 of the Medicines Act</w:t>
            </w:r>
            <w:r w:rsidR="00521E43" w:rsidRPr="00CC5FE4">
              <w:rPr>
                <w:rFonts w:ascii="Arial" w:hAnsi="Arial" w:cs="Arial"/>
                <w:sz w:val="24"/>
              </w:rPr>
              <w:t xml:space="preserve"> 1981</w:t>
            </w:r>
            <w:r w:rsidR="00FE4E30" w:rsidRPr="00CC5FE4">
              <w:rPr>
                <w:rFonts w:ascii="Arial" w:hAnsi="Arial" w:cs="Arial"/>
                <w:sz w:val="24"/>
              </w:rPr>
              <w:t xml:space="preserve">, there is an exemption for medical practitioners to </w:t>
            </w:r>
            <w:r w:rsidR="00C20DAA" w:rsidRPr="00CC5FE4">
              <w:rPr>
                <w:rFonts w:ascii="Arial" w:hAnsi="Arial" w:cs="Arial"/>
                <w:sz w:val="24"/>
              </w:rPr>
              <w:t>prescribe unapproved medicines. N</w:t>
            </w:r>
            <w:r w:rsidR="008759BA" w:rsidRPr="00CC5FE4">
              <w:rPr>
                <w:rFonts w:ascii="Arial" w:hAnsi="Arial" w:cs="Arial"/>
                <w:sz w:val="24"/>
              </w:rPr>
              <w:t>on-pharmaceutical forms do not need to meet the same requirements as approved prescription medicines.</w:t>
            </w:r>
          </w:p>
          <w:p w14:paraId="465432D3" w14:textId="77777777" w:rsidR="000E5B42" w:rsidRPr="00CC5FE4" w:rsidRDefault="000E5B42" w:rsidP="00AB5BE7">
            <w:pPr>
              <w:rPr>
                <w:rFonts w:ascii="Arial" w:hAnsi="Arial" w:cs="Arial"/>
                <w:sz w:val="24"/>
              </w:rPr>
            </w:pPr>
          </w:p>
          <w:p w14:paraId="272EA497" w14:textId="4DA3E9F0" w:rsidR="00856217" w:rsidRPr="00CC5FE4" w:rsidRDefault="00D63EDD" w:rsidP="00AB5BE7">
            <w:pPr>
              <w:rPr>
                <w:rFonts w:ascii="Arial" w:hAnsi="Arial" w:cs="Arial"/>
                <w:sz w:val="24"/>
              </w:rPr>
            </w:pPr>
            <w:proofErr w:type="spellStart"/>
            <w:r w:rsidRPr="00CC5FE4">
              <w:rPr>
                <w:rFonts w:ascii="Arial" w:hAnsi="Arial" w:cs="Arial"/>
                <w:sz w:val="24"/>
              </w:rPr>
              <w:t>MoH</w:t>
            </w:r>
            <w:proofErr w:type="spellEnd"/>
            <w:r w:rsidR="000E5B42" w:rsidRPr="00CC5FE4">
              <w:rPr>
                <w:rFonts w:ascii="Arial" w:hAnsi="Arial" w:cs="Arial"/>
                <w:sz w:val="24"/>
              </w:rPr>
              <w:t xml:space="preserve"> considers that </w:t>
            </w:r>
            <w:r w:rsidR="005E2732" w:rsidRPr="00CC5FE4">
              <w:rPr>
                <w:rFonts w:ascii="Arial" w:hAnsi="Arial" w:cs="Arial"/>
                <w:sz w:val="24"/>
              </w:rPr>
              <w:t xml:space="preserve">CBD, even in the absence of THC, </w:t>
            </w:r>
            <w:r w:rsidR="000E5B42" w:rsidRPr="00CC5FE4">
              <w:rPr>
                <w:rFonts w:ascii="Arial" w:hAnsi="Arial" w:cs="Arial"/>
                <w:sz w:val="24"/>
              </w:rPr>
              <w:t>is a controlled dru</w:t>
            </w:r>
            <w:r w:rsidR="005D528F" w:rsidRPr="00CC5FE4">
              <w:rPr>
                <w:rFonts w:ascii="Arial" w:hAnsi="Arial" w:cs="Arial"/>
                <w:sz w:val="24"/>
              </w:rPr>
              <w:t>g under the isomer provisions of</w:t>
            </w:r>
            <w:r w:rsidR="005E2732" w:rsidRPr="00CC5FE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5E2732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5E2732" w:rsidRPr="00CC5FE4">
              <w:rPr>
                <w:rFonts w:ascii="Arial" w:hAnsi="Arial" w:cs="Arial"/>
                <w:sz w:val="24"/>
              </w:rPr>
              <w:t xml:space="preserve"> and </w:t>
            </w:r>
            <w:r w:rsidR="005679CC" w:rsidRPr="00CC5FE4">
              <w:rPr>
                <w:rFonts w:ascii="Arial" w:hAnsi="Arial" w:cs="Arial"/>
                <w:sz w:val="24"/>
              </w:rPr>
              <w:t>i</w:t>
            </w:r>
            <w:r w:rsidR="008F608A" w:rsidRPr="00CC5FE4">
              <w:rPr>
                <w:rFonts w:ascii="Arial" w:hAnsi="Arial" w:cs="Arial"/>
                <w:sz w:val="24"/>
              </w:rPr>
              <w:t>t has administered the M</w:t>
            </w:r>
            <w:r w:rsidR="005679CC" w:rsidRPr="00CC5FE4">
              <w:rPr>
                <w:rFonts w:ascii="Arial" w:hAnsi="Arial" w:cs="Arial"/>
                <w:sz w:val="24"/>
              </w:rPr>
              <w:t xml:space="preserve">edicines and Misuse </w:t>
            </w:r>
            <w:r w:rsidR="00B224DF" w:rsidRPr="00CC5FE4">
              <w:rPr>
                <w:rFonts w:ascii="Arial" w:hAnsi="Arial" w:cs="Arial"/>
                <w:sz w:val="24"/>
              </w:rPr>
              <w:t>of Drugs Act</w:t>
            </w:r>
            <w:r w:rsidR="00521E43" w:rsidRPr="00CC5FE4">
              <w:rPr>
                <w:rFonts w:ascii="Arial" w:hAnsi="Arial" w:cs="Arial"/>
                <w:sz w:val="24"/>
              </w:rPr>
              <w:t>s</w:t>
            </w:r>
            <w:r w:rsidR="00B224DF" w:rsidRPr="00CC5FE4">
              <w:rPr>
                <w:rFonts w:ascii="Arial" w:hAnsi="Arial" w:cs="Arial"/>
                <w:sz w:val="24"/>
              </w:rPr>
              <w:t xml:space="preserve"> in accordance with</w:t>
            </w:r>
            <w:r w:rsidR="005E2732" w:rsidRPr="00CC5FE4">
              <w:rPr>
                <w:rFonts w:ascii="Arial" w:hAnsi="Arial" w:cs="Arial"/>
                <w:sz w:val="24"/>
              </w:rPr>
              <w:t xml:space="preserve"> this view. </w:t>
            </w:r>
            <w:r w:rsidR="00C20DAA" w:rsidRPr="00CC5FE4">
              <w:rPr>
                <w:rFonts w:ascii="Arial" w:hAnsi="Arial" w:cs="Arial"/>
                <w:sz w:val="24"/>
              </w:rPr>
              <w:t xml:space="preserve">If CBD is de-scheduled from </w:t>
            </w:r>
            <w:proofErr w:type="spellStart"/>
            <w:r w:rsidR="00C20DAA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C20DAA" w:rsidRPr="00CC5FE4">
              <w:rPr>
                <w:rFonts w:ascii="Arial" w:hAnsi="Arial" w:cs="Arial"/>
                <w:sz w:val="24"/>
              </w:rPr>
              <w:t xml:space="preserve"> to be a prescription medicine only, prescriptions will still be required to be in possession of CBD. </w:t>
            </w:r>
            <w:r w:rsidR="00DA1A44" w:rsidRPr="00CC5FE4">
              <w:rPr>
                <w:rFonts w:ascii="Arial" w:hAnsi="Arial" w:cs="Arial"/>
                <w:sz w:val="24"/>
              </w:rPr>
              <w:t xml:space="preserve">There was a discussion around what the potential implications would be for </w:t>
            </w:r>
            <w:r w:rsidR="0084039C" w:rsidRPr="00CC5FE4">
              <w:rPr>
                <w:rFonts w:ascii="Arial" w:hAnsi="Arial" w:cs="Arial"/>
                <w:sz w:val="24"/>
              </w:rPr>
              <w:t>de-scheduling</w:t>
            </w:r>
            <w:r w:rsidR="005D528F" w:rsidRPr="00CC5FE4">
              <w:rPr>
                <w:rFonts w:ascii="Arial" w:hAnsi="Arial" w:cs="Arial"/>
                <w:sz w:val="24"/>
              </w:rPr>
              <w:t xml:space="preserve"> </w:t>
            </w:r>
            <w:r w:rsidR="00514656" w:rsidRPr="00CC5FE4">
              <w:rPr>
                <w:rFonts w:ascii="Arial" w:hAnsi="Arial" w:cs="Arial"/>
                <w:sz w:val="24"/>
              </w:rPr>
              <w:t xml:space="preserve">CBD </w:t>
            </w:r>
            <w:r w:rsidR="00DA1A44" w:rsidRPr="00CC5FE4">
              <w:rPr>
                <w:rFonts w:ascii="Arial" w:hAnsi="Arial" w:cs="Arial"/>
                <w:sz w:val="24"/>
              </w:rPr>
              <w:t xml:space="preserve">regarding over prescribing and abuse. </w:t>
            </w:r>
            <w:r w:rsidR="00514656" w:rsidRPr="00CC5FE4">
              <w:rPr>
                <w:rFonts w:ascii="Arial" w:hAnsi="Arial" w:cs="Arial"/>
                <w:sz w:val="24"/>
              </w:rPr>
              <w:t>Though CBD can be converted to THC, a</w:t>
            </w:r>
            <w:r w:rsidR="00DA1A44" w:rsidRPr="00CC5FE4">
              <w:rPr>
                <w:rFonts w:ascii="Arial" w:hAnsi="Arial" w:cs="Arial"/>
                <w:sz w:val="24"/>
              </w:rPr>
              <w:t xml:space="preserve">buse and conversion </w:t>
            </w:r>
            <w:r w:rsidR="005E2732" w:rsidRPr="00CC5FE4">
              <w:rPr>
                <w:rFonts w:ascii="Arial" w:hAnsi="Arial" w:cs="Arial"/>
                <w:sz w:val="24"/>
              </w:rPr>
              <w:t xml:space="preserve">of CBD </w:t>
            </w:r>
            <w:r w:rsidR="0002221C" w:rsidRPr="00CC5FE4">
              <w:rPr>
                <w:rFonts w:ascii="Arial" w:hAnsi="Arial" w:cs="Arial"/>
                <w:sz w:val="24"/>
              </w:rPr>
              <w:t>to THC is</w:t>
            </w:r>
            <w:r w:rsidR="00DA1A44" w:rsidRPr="00CC5FE4">
              <w:rPr>
                <w:rFonts w:ascii="Arial" w:hAnsi="Arial" w:cs="Arial"/>
                <w:sz w:val="24"/>
              </w:rPr>
              <w:t xml:space="preserve"> consid</w:t>
            </w:r>
            <w:r w:rsidR="005E2732" w:rsidRPr="00CC5FE4">
              <w:rPr>
                <w:rFonts w:ascii="Arial" w:hAnsi="Arial" w:cs="Arial"/>
                <w:sz w:val="24"/>
              </w:rPr>
              <w:t xml:space="preserve">ered </w:t>
            </w:r>
            <w:r w:rsidR="0002221C" w:rsidRPr="00CC5FE4">
              <w:rPr>
                <w:rFonts w:ascii="Arial" w:hAnsi="Arial" w:cs="Arial"/>
                <w:sz w:val="24"/>
              </w:rPr>
              <w:t>un</w:t>
            </w:r>
            <w:r w:rsidR="005E2732" w:rsidRPr="00CC5FE4">
              <w:rPr>
                <w:rFonts w:ascii="Arial" w:hAnsi="Arial" w:cs="Arial"/>
                <w:sz w:val="24"/>
              </w:rPr>
              <w:t xml:space="preserve">likely as CBD </w:t>
            </w:r>
            <w:r w:rsidR="0002221C" w:rsidRPr="00CC5FE4">
              <w:rPr>
                <w:rFonts w:ascii="Arial" w:hAnsi="Arial" w:cs="Arial"/>
                <w:sz w:val="24"/>
              </w:rPr>
              <w:t xml:space="preserve">based </w:t>
            </w:r>
            <w:r w:rsidR="005E2732" w:rsidRPr="00CC5FE4">
              <w:rPr>
                <w:rFonts w:ascii="Arial" w:hAnsi="Arial" w:cs="Arial"/>
                <w:sz w:val="24"/>
              </w:rPr>
              <w:t xml:space="preserve">medicines </w:t>
            </w:r>
            <w:r w:rsidR="0002221C" w:rsidRPr="00CC5FE4">
              <w:rPr>
                <w:rFonts w:ascii="Arial" w:hAnsi="Arial" w:cs="Arial"/>
                <w:sz w:val="24"/>
              </w:rPr>
              <w:t>would most likely cost much more</w:t>
            </w:r>
            <w:r w:rsidR="005E2732" w:rsidRPr="00CC5FE4">
              <w:rPr>
                <w:rFonts w:ascii="Arial" w:hAnsi="Arial" w:cs="Arial"/>
                <w:sz w:val="24"/>
              </w:rPr>
              <w:t xml:space="preserve"> than buying cannabis off the street</w:t>
            </w:r>
            <w:r w:rsidR="00A751EF" w:rsidRPr="00CC5FE4">
              <w:rPr>
                <w:rFonts w:ascii="Arial" w:hAnsi="Arial" w:cs="Arial"/>
                <w:sz w:val="24"/>
              </w:rPr>
              <w:t xml:space="preserve"> as well as having to go through the process of gaining a prescription to access the CBD medicine</w:t>
            </w:r>
            <w:r w:rsidR="005E2732" w:rsidRPr="00CC5FE4">
              <w:rPr>
                <w:rFonts w:ascii="Arial" w:hAnsi="Arial" w:cs="Arial"/>
                <w:sz w:val="24"/>
              </w:rPr>
              <w:t>.</w:t>
            </w:r>
            <w:r w:rsidR="00DA1A44" w:rsidRPr="00CC5FE4">
              <w:rPr>
                <w:rFonts w:ascii="Arial" w:hAnsi="Arial" w:cs="Arial"/>
                <w:sz w:val="24"/>
              </w:rPr>
              <w:t xml:space="preserve"> Currently, individuals can </w:t>
            </w:r>
            <w:r w:rsidR="00EA3D32" w:rsidRPr="00CC5FE4">
              <w:rPr>
                <w:rFonts w:ascii="Arial" w:hAnsi="Arial" w:cs="Arial"/>
                <w:sz w:val="24"/>
              </w:rPr>
              <w:t xml:space="preserve">carry on their person up to a month’s supply of </w:t>
            </w:r>
            <w:r w:rsidR="005D528F" w:rsidRPr="00CC5FE4">
              <w:rPr>
                <w:rFonts w:ascii="Arial" w:hAnsi="Arial" w:cs="Arial"/>
                <w:sz w:val="24"/>
              </w:rPr>
              <w:t>controlled drugs into NZ</w:t>
            </w:r>
            <w:r w:rsidR="00DA1A44" w:rsidRPr="00CC5FE4">
              <w:rPr>
                <w:rFonts w:ascii="Arial" w:hAnsi="Arial" w:cs="Arial"/>
                <w:sz w:val="24"/>
              </w:rPr>
              <w:t xml:space="preserve"> with appropriate overseas prescriptions and proof that it was </w:t>
            </w:r>
            <w:r w:rsidR="00C20DAA" w:rsidRPr="00CC5FE4">
              <w:rPr>
                <w:rFonts w:ascii="Arial" w:hAnsi="Arial" w:cs="Arial"/>
                <w:sz w:val="24"/>
              </w:rPr>
              <w:t xml:space="preserve">lawfully </w:t>
            </w:r>
            <w:r w:rsidR="00EA3D32" w:rsidRPr="00CC5FE4">
              <w:rPr>
                <w:rFonts w:ascii="Arial" w:hAnsi="Arial" w:cs="Arial"/>
                <w:sz w:val="24"/>
              </w:rPr>
              <w:t>supplied</w:t>
            </w:r>
            <w:r w:rsidR="00521E43" w:rsidRPr="00CC5FE4">
              <w:rPr>
                <w:rFonts w:ascii="Arial" w:hAnsi="Arial" w:cs="Arial"/>
                <w:sz w:val="24"/>
              </w:rPr>
              <w:t xml:space="preserve"> overseas</w:t>
            </w:r>
            <w:r w:rsidR="00EA3D32" w:rsidRPr="00CC5FE4">
              <w:rPr>
                <w:rFonts w:ascii="Arial" w:hAnsi="Arial" w:cs="Arial"/>
                <w:sz w:val="24"/>
              </w:rPr>
              <w:t xml:space="preserve"> for the purpose</w:t>
            </w:r>
            <w:r w:rsidR="00521E43" w:rsidRPr="00CC5FE4">
              <w:rPr>
                <w:rFonts w:ascii="Arial" w:hAnsi="Arial" w:cs="Arial"/>
                <w:sz w:val="24"/>
              </w:rPr>
              <w:t xml:space="preserve"> of treating a medical condition</w:t>
            </w:r>
            <w:proofErr w:type="gramStart"/>
            <w:r w:rsidR="00521E43" w:rsidRPr="00CC5FE4">
              <w:rPr>
                <w:rFonts w:ascii="Arial" w:hAnsi="Arial" w:cs="Arial"/>
                <w:sz w:val="24"/>
              </w:rPr>
              <w:t>.</w:t>
            </w:r>
            <w:r w:rsidR="00C20DAA" w:rsidRPr="00CC5FE4">
              <w:rPr>
                <w:rFonts w:ascii="Arial" w:hAnsi="Arial" w:cs="Arial"/>
                <w:sz w:val="24"/>
              </w:rPr>
              <w:t>.</w:t>
            </w:r>
            <w:proofErr w:type="gramEnd"/>
          </w:p>
          <w:p w14:paraId="436D09D3" w14:textId="77777777" w:rsidR="008759BA" w:rsidRPr="00CC5FE4" w:rsidRDefault="008759BA" w:rsidP="00AB5BE7">
            <w:pPr>
              <w:rPr>
                <w:rFonts w:ascii="Arial" w:hAnsi="Arial" w:cs="Arial"/>
                <w:sz w:val="24"/>
              </w:rPr>
            </w:pPr>
          </w:p>
          <w:p w14:paraId="491EBCBE" w14:textId="77777777" w:rsidR="008759BA" w:rsidRPr="00CC5FE4" w:rsidRDefault="008759BA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To address the issue around THC content in CBD medicines, it was suggested that a THC content threshold be set, similar to the allowable threshold of THC in hemp.</w:t>
            </w:r>
            <w:r w:rsidR="00FA0DE9" w:rsidRPr="00CC5FE4">
              <w:rPr>
                <w:rFonts w:ascii="Arial" w:hAnsi="Arial" w:cs="Arial"/>
                <w:sz w:val="24"/>
              </w:rPr>
              <w:t xml:space="preserve"> It was discussed if the limit should </w:t>
            </w:r>
            <w:r w:rsidR="0070523E" w:rsidRPr="00CC5FE4">
              <w:rPr>
                <w:rFonts w:ascii="Arial" w:hAnsi="Arial" w:cs="Arial"/>
                <w:sz w:val="24"/>
              </w:rPr>
              <w:t>be two percent</w:t>
            </w:r>
            <w:r w:rsidR="00FA0DE9" w:rsidRPr="00CC5FE4">
              <w:rPr>
                <w:rFonts w:ascii="Arial" w:hAnsi="Arial" w:cs="Arial"/>
                <w:sz w:val="24"/>
              </w:rPr>
              <w:t>, in line with Australia</w:t>
            </w:r>
            <w:r w:rsidR="0070523E" w:rsidRPr="00CC5FE4">
              <w:rPr>
                <w:rFonts w:ascii="Arial" w:hAnsi="Arial" w:cs="Arial"/>
                <w:sz w:val="24"/>
              </w:rPr>
              <w:t>, or 0.35 percent</w:t>
            </w:r>
            <w:r w:rsidR="00FA0DE9" w:rsidRPr="00CC5FE4">
              <w:rPr>
                <w:rFonts w:ascii="Arial" w:hAnsi="Arial" w:cs="Arial"/>
                <w:sz w:val="24"/>
              </w:rPr>
              <w:t xml:space="preserve"> in line with the threshold for THC in hemp.</w:t>
            </w:r>
          </w:p>
          <w:p w14:paraId="3B3B9DBD" w14:textId="77777777" w:rsidR="002056F5" w:rsidRPr="00CC5FE4" w:rsidRDefault="002056F5" w:rsidP="00AB5BE7">
            <w:pPr>
              <w:rPr>
                <w:rFonts w:ascii="Arial" w:hAnsi="Arial" w:cs="Arial"/>
                <w:sz w:val="24"/>
              </w:rPr>
            </w:pPr>
          </w:p>
          <w:p w14:paraId="791F37E5" w14:textId="2A85E617" w:rsidR="002056F5" w:rsidRPr="00CC5FE4" w:rsidRDefault="002056F5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T</w:t>
            </w:r>
            <w:r w:rsidR="00FA0DE9" w:rsidRPr="00CC5FE4">
              <w:rPr>
                <w:rFonts w:ascii="Arial" w:hAnsi="Arial" w:cs="Arial"/>
                <w:sz w:val="24"/>
              </w:rPr>
              <w:t>he C</w:t>
            </w:r>
            <w:r w:rsidR="005F67FD" w:rsidRPr="00CC5FE4">
              <w:rPr>
                <w:rFonts w:ascii="Arial" w:hAnsi="Arial" w:cs="Arial"/>
                <w:sz w:val="24"/>
              </w:rPr>
              <w:t xml:space="preserve">ommittee </w:t>
            </w:r>
            <w:r w:rsidRPr="00CC5FE4">
              <w:rPr>
                <w:rFonts w:ascii="Arial" w:hAnsi="Arial" w:cs="Arial"/>
                <w:sz w:val="24"/>
              </w:rPr>
              <w:t xml:space="preserve">queried whether there was enough evidence presented to make a recommendation </w:t>
            </w:r>
            <w:r w:rsidR="0070523E" w:rsidRPr="00CC5FE4">
              <w:rPr>
                <w:rFonts w:ascii="Arial" w:hAnsi="Arial" w:cs="Arial"/>
                <w:sz w:val="24"/>
              </w:rPr>
              <w:t>for an allowable THC threshold in CBD preparations. They were particularly interested in</w:t>
            </w:r>
            <w:r w:rsidR="005E2732" w:rsidRPr="00CC5FE4">
              <w:rPr>
                <w:rFonts w:ascii="Arial" w:hAnsi="Arial" w:cs="Arial"/>
                <w:sz w:val="24"/>
              </w:rPr>
              <w:t xml:space="preserve"> the processes that led to the 0.35 percent threshold of THC allowed in hemp in NZ and the two percent threshold of other cannabinoids </w:t>
            </w:r>
            <w:r w:rsidR="005E2732" w:rsidRPr="00CC5FE4">
              <w:rPr>
                <w:rFonts w:ascii="Arial" w:hAnsi="Arial" w:cs="Arial"/>
                <w:sz w:val="24"/>
              </w:rPr>
              <w:lastRenderedPageBreak/>
              <w:t>allowed in CBD medicines in Australia.</w:t>
            </w:r>
            <w:r w:rsidR="0070523E" w:rsidRPr="00CC5FE4">
              <w:rPr>
                <w:rFonts w:ascii="Arial" w:hAnsi="Arial" w:cs="Arial"/>
                <w:sz w:val="24"/>
              </w:rPr>
              <w:t xml:space="preserve"> The question was also raised of what the THC content of cannabis generally is.</w:t>
            </w:r>
          </w:p>
          <w:p w14:paraId="3DB03D09" w14:textId="77777777" w:rsidR="002056F5" w:rsidRPr="00CC5FE4" w:rsidRDefault="002056F5" w:rsidP="00AB5BE7">
            <w:pPr>
              <w:rPr>
                <w:rFonts w:ascii="Arial" w:hAnsi="Arial" w:cs="Arial"/>
                <w:sz w:val="24"/>
              </w:rPr>
            </w:pPr>
          </w:p>
          <w:p w14:paraId="2D224B07" w14:textId="77777777" w:rsidR="002056F5" w:rsidRPr="00CC5FE4" w:rsidRDefault="002056F5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 xml:space="preserve">Outcome: </w:t>
            </w:r>
            <w:r w:rsidR="002C2F65" w:rsidRPr="00CC5FE4">
              <w:rPr>
                <w:rFonts w:ascii="Arial" w:hAnsi="Arial" w:cs="Arial"/>
                <w:sz w:val="24"/>
              </w:rPr>
              <w:t>T</w:t>
            </w:r>
            <w:r w:rsidR="000A2788" w:rsidRPr="00CC5FE4">
              <w:rPr>
                <w:rFonts w:ascii="Arial" w:hAnsi="Arial" w:cs="Arial"/>
                <w:sz w:val="24"/>
              </w:rPr>
              <w:t xml:space="preserve">he </w:t>
            </w:r>
            <w:r w:rsidR="002C2F65" w:rsidRPr="00CC5FE4">
              <w:rPr>
                <w:rFonts w:ascii="Arial" w:hAnsi="Arial" w:cs="Arial"/>
                <w:sz w:val="24"/>
              </w:rPr>
              <w:t>C</w:t>
            </w:r>
            <w:r w:rsidR="000A2788" w:rsidRPr="00CC5FE4">
              <w:rPr>
                <w:rFonts w:ascii="Arial" w:hAnsi="Arial" w:cs="Arial"/>
                <w:sz w:val="24"/>
              </w:rPr>
              <w:t xml:space="preserve">ommittee </w:t>
            </w:r>
            <w:r w:rsidR="005D528F" w:rsidRPr="00CC5FE4">
              <w:rPr>
                <w:rFonts w:ascii="Arial" w:hAnsi="Arial" w:cs="Arial"/>
                <w:sz w:val="24"/>
              </w:rPr>
              <w:t>deferred the decision to the next meeti</w:t>
            </w:r>
            <w:r w:rsidR="00D302D7" w:rsidRPr="00CC5FE4">
              <w:rPr>
                <w:rFonts w:ascii="Arial" w:hAnsi="Arial" w:cs="Arial"/>
                <w:sz w:val="24"/>
              </w:rPr>
              <w:t>ng as more information is needed</w:t>
            </w:r>
            <w:r w:rsidR="005D528F" w:rsidRPr="00CC5FE4">
              <w:rPr>
                <w:rFonts w:ascii="Arial" w:hAnsi="Arial" w:cs="Arial"/>
                <w:sz w:val="24"/>
              </w:rPr>
              <w:t xml:space="preserve"> regarding t</w:t>
            </w:r>
            <w:r w:rsidR="00D63EDD" w:rsidRPr="00CC5FE4">
              <w:rPr>
                <w:rFonts w:ascii="Arial" w:hAnsi="Arial" w:cs="Arial"/>
                <w:sz w:val="24"/>
              </w:rPr>
              <w:t>he process that lead to the</w:t>
            </w:r>
            <w:r w:rsidR="000A2788" w:rsidRPr="00CC5FE4">
              <w:rPr>
                <w:rFonts w:ascii="Arial" w:hAnsi="Arial" w:cs="Arial"/>
                <w:sz w:val="24"/>
              </w:rPr>
              <w:t xml:space="preserve"> 0.35 percent of THC content threshold being allowed in hemp</w:t>
            </w:r>
            <w:r w:rsidR="00D302D7" w:rsidRPr="00CC5FE4">
              <w:rPr>
                <w:rFonts w:ascii="Arial" w:hAnsi="Arial" w:cs="Arial"/>
                <w:sz w:val="24"/>
              </w:rPr>
              <w:t xml:space="preserve"> and the two percent threshold of other cannabinoids allowed in CBD medicines in Australia</w:t>
            </w:r>
            <w:r w:rsidR="000A2788" w:rsidRPr="00CC5FE4">
              <w:rPr>
                <w:rFonts w:ascii="Arial" w:hAnsi="Arial" w:cs="Arial"/>
                <w:sz w:val="24"/>
              </w:rPr>
              <w:t>. Research arou</w:t>
            </w:r>
            <w:r w:rsidR="002C2F65" w:rsidRPr="00CC5FE4">
              <w:rPr>
                <w:rFonts w:ascii="Arial" w:hAnsi="Arial" w:cs="Arial"/>
                <w:sz w:val="24"/>
              </w:rPr>
              <w:t>nd the effects</w:t>
            </w:r>
            <w:r w:rsidR="00D63EDD" w:rsidRPr="00CC5FE4">
              <w:rPr>
                <w:rFonts w:ascii="Arial" w:hAnsi="Arial" w:cs="Arial"/>
                <w:sz w:val="24"/>
              </w:rPr>
              <w:t xml:space="preserve"> of</w:t>
            </w:r>
            <w:r w:rsidR="002C2F65" w:rsidRPr="00CC5FE4">
              <w:rPr>
                <w:rFonts w:ascii="Arial" w:hAnsi="Arial" w:cs="Arial"/>
                <w:sz w:val="24"/>
              </w:rPr>
              <w:t xml:space="preserve"> consumption of two percent</w:t>
            </w:r>
            <w:r w:rsidR="000A2788" w:rsidRPr="00CC5FE4">
              <w:rPr>
                <w:rFonts w:ascii="Arial" w:hAnsi="Arial" w:cs="Arial"/>
                <w:sz w:val="24"/>
              </w:rPr>
              <w:t xml:space="preserve"> </w:t>
            </w:r>
            <w:r w:rsidR="00DF6BAD" w:rsidRPr="00CC5FE4">
              <w:rPr>
                <w:rFonts w:ascii="Arial" w:hAnsi="Arial" w:cs="Arial"/>
                <w:sz w:val="24"/>
              </w:rPr>
              <w:t xml:space="preserve">of </w:t>
            </w:r>
            <w:r w:rsidR="000A2788" w:rsidRPr="00CC5FE4">
              <w:rPr>
                <w:rFonts w:ascii="Arial" w:hAnsi="Arial" w:cs="Arial"/>
                <w:sz w:val="24"/>
              </w:rPr>
              <w:t>additional cannabinoids</w:t>
            </w:r>
            <w:r w:rsidR="00DF6BAD" w:rsidRPr="00CC5FE4">
              <w:rPr>
                <w:rFonts w:ascii="Arial" w:hAnsi="Arial" w:cs="Arial"/>
                <w:sz w:val="24"/>
              </w:rPr>
              <w:t xml:space="preserve"> in a CBD product</w:t>
            </w:r>
            <w:r w:rsidR="00D302D7" w:rsidRPr="00CC5FE4">
              <w:rPr>
                <w:rFonts w:ascii="Arial" w:hAnsi="Arial" w:cs="Arial"/>
                <w:sz w:val="24"/>
              </w:rPr>
              <w:t xml:space="preserve"> also needs to</w:t>
            </w:r>
            <w:r w:rsidR="000A2788" w:rsidRPr="00CC5FE4">
              <w:rPr>
                <w:rFonts w:ascii="Arial" w:hAnsi="Arial" w:cs="Arial"/>
                <w:sz w:val="24"/>
              </w:rPr>
              <w:t xml:space="preserve"> be looked at by the </w:t>
            </w:r>
            <w:r w:rsidR="005D528F" w:rsidRPr="00CC5FE4">
              <w:rPr>
                <w:rFonts w:ascii="Arial" w:hAnsi="Arial" w:cs="Arial"/>
                <w:sz w:val="24"/>
              </w:rPr>
              <w:t>Secretariat and brought to the C</w:t>
            </w:r>
            <w:r w:rsidR="000A2788" w:rsidRPr="00CC5FE4">
              <w:rPr>
                <w:rFonts w:ascii="Arial" w:hAnsi="Arial" w:cs="Arial"/>
                <w:sz w:val="24"/>
              </w:rPr>
              <w:t>ommittee.</w:t>
            </w:r>
            <w:r w:rsidR="00DF6BAD" w:rsidRPr="00CC5FE4">
              <w:rPr>
                <w:rFonts w:ascii="Arial" w:hAnsi="Arial" w:cs="Arial"/>
                <w:sz w:val="24"/>
              </w:rPr>
              <w:t xml:space="preserve"> </w:t>
            </w:r>
          </w:p>
          <w:p w14:paraId="17A50D55" w14:textId="77777777" w:rsidR="000A2788" w:rsidRPr="00CC5FE4" w:rsidRDefault="000A2788" w:rsidP="00AB5BE7">
            <w:pPr>
              <w:rPr>
                <w:rFonts w:ascii="Arial" w:hAnsi="Arial" w:cs="Arial"/>
                <w:sz w:val="24"/>
              </w:rPr>
            </w:pPr>
          </w:p>
          <w:p w14:paraId="31FD3BCA" w14:textId="77777777" w:rsidR="005D528F" w:rsidRPr="00CC5FE4" w:rsidRDefault="000A2788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 xml:space="preserve">Action: </w:t>
            </w:r>
            <w:r w:rsidR="005D528F" w:rsidRPr="00CC5FE4">
              <w:rPr>
                <w:rFonts w:ascii="Arial" w:hAnsi="Arial" w:cs="Arial"/>
                <w:sz w:val="24"/>
              </w:rPr>
              <w:t>S</w:t>
            </w:r>
            <w:r w:rsidRPr="00CC5FE4">
              <w:rPr>
                <w:rFonts w:ascii="Arial" w:hAnsi="Arial" w:cs="Arial"/>
                <w:sz w:val="24"/>
              </w:rPr>
              <w:t xml:space="preserve">ecretariat to find out the process that lead to the 0.35 percent threshold of THC content </w:t>
            </w:r>
            <w:r w:rsidR="00DB4A52" w:rsidRPr="00CC5FE4">
              <w:rPr>
                <w:rFonts w:ascii="Arial" w:hAnsi="Arial" w:cs="Arial"/>
                <w:sz w:val="24"/>
              </w:rPr>
              <w:t xml:space="preserve">allowed </w:t>
            </w:r>
            <w:r w:rsidRPr="00CC5FE4">
              <w:rPr>
                <w:rFonts w:ascii="Arial" w:hAnsi="Arial" w:cs="Arial"/>
                <w:sz w:val="24"/>
              </w:rPr>
              <w:t xml:space="preserve">in hemp </w:t>
            </w:r>
            <w:r w:rsidR="00DB4A52" w:rsidRPr="00CC5FE4">
              <w:rPr>
                <w:rFonts w:ascii="Arial" w:hAnsi="Arial" w:cs="Arial"/>
                <w:sz w:val="24"/>
              </w:rPr>
              <w:t xml:space="preserve">and </w:t>
            </w:r>
            <w:r w:rsidR="00D63EDD" w:rsidRPr="00CC5FE4">
              <w:rPr>
                <w:rFonts w:ascii="Arial" w:hAnsi="Arial" w:cs="Arial"/>
                <w:sz w:val="24"/>
              </w:rPr>
              <w:t>report back to the C</w:t>
            </w:r>
            <w:r w:rsidRPr="00CC5FE4">
              <w:rPr>
                <w:rFonts w:ascii="Arial" w:hAnsi="Arial" w:cs="Arial"/>
                <w:sz w:val="24"/>
              </w:rPr>
              <w:t>ommittee.</w:t>
            </w:r>
          </w:p>
          <w:p w14:paraId="5AEB79EA" w14:textId="77777777" w:rsidR="005D528F" w:rsidRPr="00CC5FE4" w:rsidRDefault="005D528F" w:rsidP="00AB5BE7">
            <w:pPr>
              <w:rPr>
                <w:rFonts w:ascii="Arial" w:hAnsi="Arial" w:cs="Arial"/>
                <w:sz w:val="24"/>
              </w:rPr>
            </w:pPr>
          </w:p>
          <w:p w14:paraId="16B0F56E" w14:textId="77777777" w:rsidR="005D528F" w:rsidRPr="00CC5FE4" w:rsidRDefault="005D528F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 xml:space="preserve">Action: </w:t>
            </w:r>
            <w:r w:rsidRPr="00CC5FE4">
              <w:rPr>
                <w:rFonts w:ascii="Arial" w:hAnsi="Arial" w:cs="Arial"/>
                <w:sz w:val="24"/>
              </w:rPr>
              <w:t>Secretariat to find out what the process was for the TGA reaching the two percent threshold of other cannabinoids allowed in CBD medicines.</w:t>
            </w:r>
          </w:p>
          <w:p w14:paraId="1DC43443" w14:textId="77777777" w:rsidR="00AB5BE7" w:rsidRPr="00CC5FE4" w:rsidRDefault="00AB5BE7" w:rsidP="00AB5BE7">
            <w:pPr>
              <w:rPr>
                <w:rFonts w:ascii="Arial" w:hAnsi="Arial" w:cs="Arial"/>
                <w:sz w:val="24"/>
              </w:rPr>
            </w:pPr>
          </w:p>
          <w:p w14:paraId="0B15A3C4" w14:textId="77777777" w:rsidR="00AB5BE7" w:rsidRPr="00CC5FE4" w:rsidRDefault="00AB5BE7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 xml:space="preserve">Action: </w:t>
            </w:r>
            <w:r w:rsidRPr="00CC5FE4">
              <w:rPr>
                <w:rFonts w:ascii="Arial" w:hAnsi="Arial" w:cs="Arial"/>
                <w:sz w:val="24"/>
              </w:rPr>
              <w:t>Secretariat to find out more information around concentration levels of THC in the average cannabis that is circulating in the NZ market.</w:t>
            </w:r>
          </w:p>
          <w:p w14:paraId="58385D3C" w14:textId="77777777" w:rsidR="00AB5BE7" w:rsidRPr="00CC5FE4" w:rsidRDefault="00AB5BE7" w:rsidP="00AB5BE7">
            <w:pPr>
              <w:rPr>
                <w:rFonts w:ascii="Arial" w:hAnsi="Arial" w:cs="Arial"/>
                <w:sz w:val="24"/>
              </w:rPr>
            </w:pPr>
          </w:p>
          <w:p w14:paraId="055DA822" w14:textId="77777777" w:rsidR="00AB5BE7" w:rsidRPr="00CC5FE4" w:rsidRDefault="00AB5BE7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 xml:space="preserve">Action: </w:t>
            </w:r>
            <w:r w:rsidRPr="00CC5FE4">
              <w:rPr>
                <w:rFonts w:ascii="Arial" w:hAnsi="Arial" w:cs="Arial"/>
                <w:sz w:val="24"/>
              </w:rPr>
              <w:t xml:space="preserve">Secretariat to find out more information regarding effects of </w:t>
            </w:r>
            <w:r w:rsidR="00AF2A34" w:rsidRPr="00CC5FE4">
              <w:rPr>
                <w:rFonts w:ascii="Arial" w:hAnsi="Arial" w:cs="Arial"/>
                <w:sz w:val="24"/>
              </w:rPr>
              <w:t>consumption of products containing different concentrations of THC.</w:t>
            </w:r>
          </w:p>
          <w:p w14:paraId="7507D1F4" w14:textId="77777777" w:rsidR="00DF6BAD" w:rsidRPr="00CC5FE4" w:rsidRDefault="00DF6BAD" w:rsidP="00AB5BE7">
            <w:pPr>
              <w:rPr>
                <w:rFonts w:ascii="Arial" w:hAnsi="Arial" w:cs="Arial"/>
                <w:sz w:val="24"/>
              </w:rPr>
            </w:pPr>
          </w:p>
          <w:p w14:paraId="480E60EC" w14:textId="77777777" w:rsidR="00DF6BAD" w:rsidRPr="00CC5FE4" w:rsidRDefault="00DF6BAD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 xml:space="preserve">Action: </w:t>
            </w:r>
            <w:r w:rsidR="005D528F" w:rsidRPr="00CC5FE4">
              <w:rPr>
                <w:rFonts w:ascii="Arial" w:hAnsi="Arial" w:cs="Arial"/>
                <w:sz w:val="24"/>
              </w:rPr>
              <w:t>S</w:t>
            </w:r>
            <w:r w:rsidRPr="00CC5FE4">
              <w:rPr>
                <w:rFonts w:ascii="Arial" w:hAnsi="Arial" w:cs="Arial"/>
                <w:sz w:val="24"/>
              </w:rPr>
              <w:t>ecretariat to add CBD to the next agenda.</w:t>
            </w:r>
          </w:p>
          <w:p w14:paraId="6AA90B22" w14:textId="77777777" w:rsidR="00DF6BAD" w:rsidRPr="00CC5FE4" w:rsidRDefault="00DF6BAD" w:rsidP="00AB5BE7">
            <w:pPr>
              <w:rPr>
                <w:rFonts w:ascii="Arial" w:hAnsi="Arial" w:cs="Arial"/>
                <w:sz w:val="24"/>
              </w:rPr>
            </w:pPr>
          </w:p>
          <w:p w14:paraId="721D098A" w14:textId="75FA9E13" w:rsidR="00DF6BAD" w:rsidRPr="00CC5FE4" w:rsidRDefault="009505E0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[redacted] </w:t>
            </w:r>
            <w:r w:rsidR="00DF6BAD" w:rsidRPr="00CC5FE4">
              <w:rPr>
                <w:rFonts w:ascii="Arial" w:hAnsi="Arial" w:cs="Arial"/>
                <w:sz w:val="24"/>
              </w:rPr>
              <w:t xml:space="preserve">and </w:t>
            </w:r>
            <w:r w:rsidRPr="00CC5FE4">
              <w:rPr>
                <w:rFonts w:ascii="Arial" w:hAnsi="Arial" w:cs="Arial"/>
                <w:sz w:val="24"/>
              </w:rPr>
              <w:t xml:space="preserve">[redacted] </w:t>
            </w:r>
            <w:r w:rsidR="00DF6BAD" w:rsidRPr="00CC5FE4">
              <w:rPr>
                <w:rFonts w:ascii="Arial" w:hAnsi="Arial" w:cs="Arial"/>
                <w:sz w:val="24"/>
              </w:rPr>
              <w:t>left the meeting at 12.04pm</w:t>
            </w:r>
          </w:p>
          <w:p w14:paraId="5F03EC71" w14:textId="77777777" w:rsidR="00DF6BAD" w:rsidRPr="00CC5FE4" w:rsidRDefault="00DF6BAD" w:rsidP="00AB5BE7">
            <w:pPr>
              <w:rPr>
                <w:rFonts w:ascii="Arial" w:hAnsi="Arial" w:cs="Arial"/>
                <w:sz w:val="24"/>
              </w:rPr>
            </w:pPr>
          </w:p>
        </w:tc>
      </w:tr>
      <w:tr w:rsidR="005247A1" w:rsidRPr="00CC5FE4" w14:paraId="6315EBE0" w14:textId="77777777" w:rsidTr="00AB5BE7">
        <w:tc>
          <w:tcPr>
            <w:tcW w:w="720" w:type="dxa"/>
          </w:tcPr>
          <w:p w14:paraId="7473EB53" w14:textId="77777777" w:rsidR="005247A1" w:rsidRPr="00CC5FE4" w:rsidRDefault="005247A1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lastRenderedPageBreak/>
              <w:t>6</w:t>
            </w:r>
          </w:p>
        </w:tc>
        <w:tc>
          <w:tcPr>
            <w:tcW w:w="9180" w:type="dxa"/>
          </w:tcPr>
          <w:p w14:paraId="1E17C385" w14:textId="77777777" w:rsidR="005247A1" w:rsidRPr="00CC5FE4" w:rsidRDefault="007A5876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Alpha-PVP</w:t>
            </w:r>
            <w:r w:rsidR="00DD1D70" w:rsidRPr="00CC5FE4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0B47C3E" w14:textId="77777777" w:rsidR="007A5876" w:rsidRPr="00CC5FE4" w:rsidRDefault="005F67FD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Alpha-PVP</w:t>
            </w:r>
            <w:r w:rsidR="00DF6BAD" w:rsidRPr="00CC5FE4">
              <w:rPr>
                <w:rFonts w:ascii="Arial" w:hAnsi="Arial" w:cs="Arial"/>
                <w:sz w:val="24"/>
              </w:rPr>
              <w:t xml:space="preserve"> is currently </w:t>
            </w:r>
            <w:r w:rsidR="00004E1A" w:rsidRPr="00CC5FE4">
              <w:rPr>
                <w:rFonts w:ascii="Arial" w:hAnsi="Arial" w:cs="Arial"/>
                <w:sz w:val="24"/>
              </w:rPr>
              <w:t xml:space="preserve">classified </w:t>
            </w:r>
            <w:r w:rsidR="00DF6BAD" w:rsidRPr="00CC5FE4">
              <w:rPr>
                <w:rFonts w:ascii="Arial" w:hAnsi="Arial" w:cs="Arial"/>
                <w:sz w:val="24"/>
              </w:rPr>
              <w:t xml:space="preserve">as a </w:t>
            </w:r>
            <w:r w:rsidR="00004E1A" w:rsidRPr="00CC5FE4">
              <w:rPr>
                <w:rFonts w:ascii="Arial" w:hAnsi="Arial" w:cs="Arial"/>
                <w:sz w:val="24"/>
              </w:rPr>
              <w:t>C</w:t>
            </w:r>
            <w:r w:rsidR="00DF6BAD" w:rsidRPr="00CC5FE4">
              <w:rPr>
                <w:rFonts w:ascii="Arial" w:hAnsi="Arial" w:cs="Arial"/>
                <w:sz w:val="24"/>
              </w:rPr>
              <w:t xml:space="preserve">lass C </w:t>
            </w:r>
            <w:r w:rsidR="00004E1A" w:rsidRPr="00CC5FE4">
              <w:rPr>
                <w:rFonts w:ascii="Arial" w:hAnsi="Arial" w:cs="Arial"/>
                <w:sz w:val="24"/>
              </w:rPr>
              <w:t xml:space="preserve">controlled </w:t>
            </w:r>
            <w:r w:rsidR="00DF6BAD" w:rsidRPr="00CC5FE4">
              <w:rPr>
                <w:rFonts w:ascii="Arial" w:hAnsi="Arial" w:cs="Arial"/>
                <w:sz w:val="24"/>
              </w:rPr>
              <w:t>drug</w:t>
            </w:r>
            <w:r w:rsidRPr="00CC5FE4">
              <w:rPr>
                <w:rFonts w:ascii="Arial" w:hAnsi="Arial" w:cs="Arial"/>
                <w:sz w:val="24"/>
              </w:rPr>
              <w:t xml:space="preserve"> under</w:t>
            </w:r>
            <w:r w:rsidR="00004E1A" w:rsidRPr="00CC5FE4">
              <w:rPr>
                <w:rFonts w:ascii="Arial" w:hAnsi="Arial" w:cs="Arial"/>
                <w:sz w:val="24"/>
              </w:rPr>
              <w:t xml:space="preserve"> the analogue provision in</w:t>
            </w:r>
            <w:r w:rsidRPr="00CC5FE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DF6BAD" w:rsidRPr="00CC5FE4">
              <w:rPr>
                <w:rFonts w:ascii="Arial" w:hAnsi="Arial" w:cs="Arial"/>
                <w:sz w:val="24"/>
              </w:rPr>
              <w:t>. However, increased knowledge of its presence in NZ</w:t>
            </w:r>
            <w:r w:rsidR="00B70857" w:rsidRPr="00CC5FE4">
              <w:rPr>
                <w:rFonts w:ascii="Arial" w:hAnsi="Arial" w:cs="Arial"/>
                <w:sz w:val="24"/>
              </w:rPr>
              <w:t xml:space="preserve"> (since 2013)</w:t>
            </w:r>
            <w:r w:rsidR="00DF6BAD" w:rsidRPr="00CC5FE4">
              <w:rPr>
                <w:rFonts w:ascii="Arial" w:hAnsi="Arial" w:cs="Arial"/>
                <w:sz w:val="24"/>
              </w:rPr>
              <w:t xml:space="preserve"> and its known effects of </w:t>
            </w:r>
            <w:r w:rsidRPr="00CC5FE4">
              <w:rPr>
                <w:rFonts w:ascii="Arial" w:hAnsi="Arial" w:cs="Arial"/>
                <w:sz w:val="24"/>
              </w:rPr>
              <w:t>violent and psychotic behaviour</w:t>
            </w:r>
            <w:r w:rsidR="00DF6BAD" w:rsidRPr="00CC5FE4">
              <w:rPr>
                <w:rFonts w:ascii="Arial" w:hAnsi="Arial" w:cs="Arial"/>
                <w:sz w:val="24"/>
              </w:rPr>
              <w:t>s</w:t>
            </w:r>
            <w:r w:rsidR="00E86C9E" w:rsidRPr="00CC5FE4">
              <w:rPr>
                <w:rFonts w:ascii="Arial" w:hAnsi="Arial" w:cs="Arial"/>
                <w:sz w:val="24"/>
              </w:rPr>
              <w:t xml:space="preserve"> as</w:t>
            </w:r>
            <w:r w:rsidR="00DF6BAD" w:rsidRPr="00CC5FE4">
              <w:rPr>
                <w:rFonts w:ascii="Arial" w:hAnsi="Arial" w:cs="Arial"/>
                <w:sz w:val="24"/>
              </w:rPr>
              <w:t xml:space="preserve"> well as being implicated in </w:t>
            </w:r>
            <w:r w:rsidR="00E86C9E" w:rsidRPr="00CC5FE4">
              <w:rPr>
                <w:rFonts w:ascii="Arial" w:hAnsi="Arial" w:cs="Arial"/>
                <w:sz w:val="24"/>
              </w:rPr>
              <w:t xml:space="preserve">a number of </w:t>
            </w:r>
            <w:r w:rsidR="00DF6BAD" w:rsidRPr="00CC5FE4">
              <w:rPr>
                <w:rFonts w:ascii="Arial" w:hAnsi="Arial" w:cs="Arial"/>
                <w:sz w:val="24"/>
              </w:rPr>
              <w:t>deaths both domestically and interna</w:t>
            </w:r>
            <w:r w:rsidRPr="00CC5FE4">
              <w:rPr>
                <w:rFonts w:ascii="Arial" w:hAnsi="Arial" w:cs="Arial"/>
                <w:sz w:val="24"/>
              </w:rPr>
              <w:t>tionally,</w:t>
            </w:r>
            <w:r w:rsidR="00EC61F4" w:rsidRPr="00CC5FE4">
              <w:rPr>
                <w:rFonts w:ascii="Arial" w:hAnsi="Arial" w:cs="Arial"/>
                <w:sz w:val="24"/>
              </w:rPr>
              <w:t xml:space="preserve"> and other serious events</w:t>
            </w:r>
            <w:r w:rsidRPr="00CC5FE4">
              <w:rPr>
                <w:rFonts w:ascii="Arial" w:hAnsi="Arial" w:cs="Arial"/>
                <w:sz w:val="24"/>
              </w:rPr>
              <w:t xml:space="preserve"> indicate that it may </w:t>
            </w:r>
            <w:r w:rsidR="00DF6BAD" w:rsidRPr="00CC5FE4">
              <w:rPr>
                <w:rFonts w:ascii="Arial" w:hAnsi="Arial" w:cs="Arial"/>
                <w:sz w:val="24"/>
              </w:rPr>
              <w:t>be more appropriate for it to be control</w:t>
            </w:r>
            <w:r w:rsidRPr="00CC5FE4">
              <w:rPr>
                <w:rFonts w:ascii="Arial" w:hAnsi="Arial" w:cs="Arial"/>
                <w:sz w:val="24"/>
              </w:rPr>
              <w:t xml:space="preserve">led in a higher schedule under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</w:t>
            </w:r>
            <w:r w:rsidR="00DF6BAD" w:rsidRPr="00CC5FE4">
              <w:rPr>
                <w:rFonts w:ascii="Arial" w:hAnsi="Arial" w:cs="Arial"/>
                <w:sz w:val="24"/>
              </w:rPr>
              <w:t>oDA</w:t>
            </w:r>
            <w:proofErr w:type="spellEnd"/>
            <w:r w:rsidR="00DF6BAD" w:rsidRPr="00CC5FE4">
              <w:rPr>
                <w:rFonts w:ascii="Arial" w:hAnsi="Arial" w:cs="Arial"/>
                <w:sz w:val="24"/>
              </w:rPr>
              <w:t xml:space="preserve">. </w:t>
            </w:r>
            <w:r w:rsidR="004E6CCB" w:rsidRPr="00CC5FE4">
              <w:rPr>
                <w:rFonts w:ascii="Arial" w:hAnsi="Arial" w:cs="Arial"/>
                <w:sz w:val="24"/>
              </w:rPr>
              <w:t>Alpha-PVP has n</w:t>
            </w:r>
            <w:r w:rsidR="00DF6BAD" w:rsidRPr="00CC5FE4">
              <w:rPr>
                <w:rFonts w:ascii="Arial" w:hAnsi="Arial" w:cs="Arial"/>
                <w:sz w:val="24"/>
              </w:rPr>
              <w:t xml:space="preserve">o </w:t>
            </w:r>
            <w:r w:rsidR="0096737F" w:rsidRPr="00CC5FE4">
              <w:rPr>
                <w:rFonts w:ascii="Arial" w:hAnsi="Arial" w:cs="Arial"/>
                <w:sz w:val="24"/>
              </w:rPr>
              <w:t xml:space="preserve">known </w:t>
            </w:r>
            <w:r w:rsidR="00004E1A" w:rsidRPr="00CC5FE4">
              <w:rPr>
                <w:rFonts w:ascii="Arial" w:hAnsi="Arial" w:cs="Arial"/>
                <w:sz w:val="24"/>
              </w:rPr>
              <w:t>therapeutic</w:t>
            </w:r>
            <w:r w:rsidR="0096737F" w:rsidRPr="00CC5FE4">
              <w:rPr>
                <w:rFonts w:ascii="Arial" w:hAnsi="Arial" w:cs="Arial"/>
                <w:sz w:val="24"/>
              </w:rPr>
              <w:t xml:space="preserve"> value.</w:t>
            </w:r>
          </w:p>
          <w:p w14:paraId="770F0F77" w14:textId="77777777" w:rsidR="0096737F" w:rsidRPr="00CC5FE4" w:rsidRDefault="0096737F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  <w:p w14:paraId="17D14A3C" w14:textId="77777777" w:rsidR="004E6CCB" w:rsidRPr="00CC5FE4" w:rsidRDefault="004E6CCB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It would appear that </w:t>
            </w:r>
            <w:r w:rsidR="00004E1A" w:rsidRPr="00CC5FE4">
              <w:rPr>
                <w:rFonts w:ascii="Arial" w:hAnsi="Arial" w:cs="Arial"/>
                <w:sz w:val="24"/>
              </w:rPr>
              <w:t>alpha-PVP</w:t>
            </w:r>
            <w:r w:rsidRPr="00CC5FE4">
              <w:rPr>
                <w:rFonts w:ascii="Arial" w:hAnsi="Arial" w:cs="Arial"/>
                <w:sz w:val="24"/>
              </w:rPr>
              <w:t xml:space="preserve"> is possibly being used as an alternative for methamphetamine due to the prevalence of alpha-PVP use in the lower </w:t>
            </w:r>
            <w:r w:rsidR="00C20DAA" w:rsidRPr="00CC5FE4">
              <w:rPr>
                <w:rFonts w:ascii="Arial" w:hAnsi="Arial" w:cs="Arial"/>
                <w:sz w:val="24"/>
              </w:rPr>
              <w:t>North I</w:t>
            </w:r>
            <w:r w:rsidRPr="00CC5FE4">
              <w:rPr>
                <w:rFonts w:ascii="Arial" w:hAnsi="Arial" w:cs="Arial"/>
                <w:sz w:val="24"/>
              </w:rPr>
              <w:t>sland whereas methamphetamine use is</w:t>
            </w:r>
            <w:r w:rsidR="00DD1D70" w:rsidRPr="00CC5FE4">
              <w:rPr>
                <w:rFonts w:ascii="Arial" w:hAnsi="Arial" w:cs="Arial"/>
                <w:sz w:val="24"/>
              </w:rPr>
              <w:t xml:space="preserve"> more </w:t>
            </w:r>
            <w:r w:rsidR="00C20DAA" w:rsidRPr="00CC5FE4">
              <w:rPr>
                <w:rFonts w:ascii="Arial" w:hAnsi="Arial" w:cs="Arial"/>
                <w:sz w:val="24"/>
              </w:rPr>
              <w:t>prevalent in the upper North I</w:t>
            </w:r>
            <w:r w:rsidRPr="00CC5FE4">
              <w:rPr>
                <w:rFonts w:ascii="Arial" w:hAnsi="Arial" w:cs="Arial"/>
                <w:sz w:val="24"/>
              </w:rPr>
              <w:t xml:space="preserve">sland. </w:t>
            </w:r>
          </w:p>
          <w:p w14:paraId="531998F7" w14:textId="77777777" w:rsidR="004E6CCB" w:rsidRPr="00CC5FE4" w:rsidRDefault="004E6CCB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  <w:p w14:paraId="180E2C47" w14:textId="77777777" w:rsidR="006E691B" w:rsidRPr="00CC5FE4" w:rsidRDefault="004E6CCB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There was a discussion regarding the associated risks of harm for alpha-PVP </w:t>
            </w:r>
            <w:r w:rsidR="004F06F2" w:rsidRPr="00CC5FE4">
              <w:rPr>
                <w:rFonts w:ascii="Arial" w:hAnsi="Arial" w:cs="Arial"/>
                <w:sz w:val="24"/>
              </w:rPr>
              <w:t xml:space="preserve">being in line with </w:t>
            </w:r>
            <w:r w:rsidRPr="00CC5FE4">
              <w:rPr>
                <w:rFonts w:ascii="Arial" w:hAnsi="Arial" w:cs="Arial"/>
                <w:sz w:val="24"/>
              </w:rPr>
              <w:t>methamphetamine</w:t>
            </w:r>
            <w:r w:rsidR="00D63EDD" w:rsidRPr="00CC5FE4">
              <w:rPr>
                <w:rFonts w:ascii="Arial" w:hAnsi="Arial" w:cs="Arial"/>
                <w:sz w:val="24"/>
              </w:rPr>
              <w:t>,</w:t>
            </w:r>
            <w:r w:rsidRPr="00CC5FE4">
              <w:rPr>
                <w:rFonts w:ascii="Arial" w:hAnsi="Arial" w:cs="Arial"/>
                <w:sz w:val="24"/>
              </w:rPr>
              <w:t xml:space="preserve"> which is a Class A controlled drug.</w:t>
            </w:r>
            <w:r w:rsidR="004F06F2" w:rsidRPr="00CC5FE4">
              <w:rPr>
                <w:rFonts w:ascii="Arial" w:hAnsi="Arial" w:cs="Arial"/>
                <w:sz w:val="24"/>
              </w:rPr>
              <w:t xml:space="preserve"> It was then queried why the classification options presented in the technical paper did not include the option to schedule alpha-PVP as a Class A controlled drug given the associated risks of harm being in line with methamphetamine. It was advised that the options for classifying alpha-PVP were based on</w:t>
            </w:r>
            <w:r w:rsidR="00F322E2" w:rsidRPr="00CC5FE4">
              <w:rPr>
                <w:rFonts w:ascii="Arial" w:hAnsi="Arial" w:cs="Arial"/>
                <w:sz w:val="24"/>
              </w:rPr>
              <w:t xml:space="preserve"> a number of factors. Firstly,</w:t>
            </w:r>
            <w:r w:rsidR="004F06F2" w:rsidRPr="00CC5FE4">
              <w:rPr>
                <w:rFonts w:ascii="Arial" w:hAnsi="Arial" w:cs="Arial"/>
                <w:sz w:val="24"/>
              </w:rPr>
              <w:t xml:space="preserve"> </w:t>
            </w:r>
            <w:r w:rsidR="00F322E2" w:rsidRPr="00CC5FE4">
              <w:rPr>
                <w:rFonts w:ascii="Arial" w:hAnsi="Arial" w:cs="Arial"/>
                <w:sz w:val="24"/>
              </w:rPr>
              <w:t>alpha-PVP is a</w:t>
            </w:r>
            <w:r w:rsidR="004F06F2" w:rsidRPr="00CC5FE4">
              <w:rPr>
                <w:rFonts w:ascii="Arial" w:hAnsi="Arial" w:cs="Arial"/>
                <w:sz w:val="24"/>
              </w:rPr>
              <w:t xml:space="preserve"> synthetic </w:t>
            </w:r>
            <w:proofErr w:type="spellStart"/>
            <w:r w:rsidR="004F06F2" w:rsidRPr="00CC5FE4">
              <w:rPr>
                <w:rFonts w:ascii="Arial" w:hAnsi="Arial" w:cs="Arial"/>
                <w:sz w:val="24"/>
              </w:rPr>
              <w:t>cathinone</w:t>
            </w:r>
            <w:proofErr w:type="spellEnd"/>
            <w:r w:rsidR="004F06F2" w:rsidRPr="00CC5FE4">
              <w:rPr>
                <w:rFonts w:ascii="Arial" w:hAnsi="Arial" w:cs="Arial"/>
                <w:sz w:val="24"/>
              </w:rPr>
              <w:t xml:space="preserve"> and</w:t>
            </w:r>
            <w:r w:rsidR="00F322E2" w:rsidRPr="00CC5FE4">
              <w:rPr>
                <w:rFonts w:ascii="Arial" w:hAnsi="Arial" w:cs="Arial"/>
                <w:sz w:val="24"/>
              </w:rPr>
              <w:t xml:space="preserve"> has </w:t>
            </w:r>
            <w:r w:rsidR="004F06F2" w:rsidRPr="00CC5FE4">
              <w:rPr>
                <w:rFonts w:ascii="Arial" w:hAnsi="Arial" w:cs="Arial"/>
                <w:sz w:val="24"/>
              </w:rPr>
              <w:t xml:space="preserve">functional similarities to </w:t>
            </w:r>
            <w:proofErr w:type="spellStart"/>
            <w:r w:rsidR="004F06F2" w:rsidRPr="00CC5FE4">
              <w:rPr>
                <w:rFonts w:ascii="Arial" w:hAnsi="Arial" w:cs="Arial"/>
                <w:sz w:val="24"/>
              </w:rPr>
              <w:t>pyrovalerone</w:t>
            </w:r>
            <w:proofErr w:type="spellEnd"/>
            <w:r w:rsidR="004F06F2" w:rsidRPr="00CC5FE4">
              <w:rPr>
                <w:rFonts w:ascii="Arial" w:hAnsi="Arial" w:cs="Arial"/>
                <w:sz w:val="24"/>
              </w:rPr>
              <w:t xml:space="preserve">, which </w:t>
            </w:r>
            <w:r w:rsidR="00497AA2" w:rsidRPr="00CC5FE4">
              <w:rPr>
                <w:rFonts w:ascii="Arial" w:hAnsi="Arial" w:cs="Arial"/>
                <w:sz w:val="24"/>
              </w:rPr>
              <w:t xml:space="preserve">is </w:t>
            </w:r>
            <w:r w:rsidR="004F06F2" w:rsidRPr="00CC5FE4">
              <w:rPr>
                <w:rFonts w:ascii="Arial" w:hAnsi="Arial" w:cs="Arial"/>
                <w:sz w:val="24"/>
              </w:rPr>
              <w:t xml:space="preserve">scheduled as a Class B2 </w:t>
            </w:r>
            <w:r w:rsidR="00FD6A7A" w:rsidRPr="00CC5FE4">
              <w:rPr>
                <w:rFonts w:ascii="Arial" w:hAnsi="Arial" w:cs="Arial"/>
                <w:sz w:val="24"/>
              </w:rPr>
              <w:t>controlled drug</w:t>
            </w:r>
            <w:r w:rsidR="00F322E2" w:rsidRPr="00CC5FE4">
              <w:rPr>
                <w:rFonts w:ascii="Arial" w:hAnsi="Arial" w:cs="Arial"/>
                <w:sz w:val="24"/>
              </w:rPr>
              <w:t xml:space="preserve">. Secondly, to keep in line with its Schedule 2 status under the UN Convention on Psychotropic Substances. Lastly, </w:t>
            </w:r>
            <w:r w:rsidR="007F744A" w:rsidRPr="00CC5FE4">
              <w:rPr>
                <w:rFonts w:ascii="Arial" w:hAnsi="Arial" w:cs="Arial"/>
                <w:sz w:val="24"/>
              </w:rPr>
              <w:t xml:space="preserve">almost </w:t>
            </w:r>
            <w:r w:rsidR="00F322E2" w:rsidRPr="00CC5FE4">
              <w:rPr>
                <w:rFonts w:ascii="Arial" w:hAnsi="Arial" w:cs="Arial"/>
                <w:sz w:val="24"/>
              </w:rPr>
              <w:t xml:space="preserve">all of the reported deaths involved poly-drug use, so it is difficult to pin point alpha-PVP </w:t>
            </w:r>
            <w:r w:rsidR="00D63EDD" w:rsidRPr="00CC5FE4">
              <w:rPr>
                <w:rFonts w:ascii="Arial" w:hAnsi="Arial" w:cs="Arial"/>
                <w:sz w:val="24"/>
              </w:rPr>
              <w:t xml:space="preserve">as </w:t>
            </w:r>
            <w:r w:rsidR="00F322E2" w:rsidRPr="00CC5FE4">
              <w:rPr>
                <w:rFonts w:ascii="Arial" w:hAnsi="Arial" w:cs="Arial"/>
                <w:sz w:val="24"/>
              </w:rPr>
              <w:t>being a defini</w:t>
            </w:r>
            <w:r w:rsidR="00C7117E" w:rsidRPr="00CC5FE4">
              <w:rPr>
                <w:rFonts w:ascii="Arial" w:hAnsi="Arial" w:cs="Arial"/>
                <w:sz w:val="24"/>
              </w:rPr>
              <w:t>tive factor.</w:t>
            </w:r>
            <w:r w:rsidR="007F744A" w:rsidRPr="00CC5FE4">
              <w:rPr>
                <w:rFonts w:ascii="Arial" w:hAnsi="Arial" w:cs="Arial"/>
                <w:sz w:val="24"/>
              </w:rPr>
              <w:t xml:space="preserve"> </w:t>
            </w:r>
            <w:r w:rsidR="006E691B" w:rsidRPr="00CC5FE4">
              <w:rPr>
                <w:rFonts w:ascii="Arial" w:hAnsi="Arial" w:cs="Arial"/>
                <w:sz w:val="24"/>
              </w:rPr>
              <w:t>It</w:t>
            </w:r>
            <w:r w:rsidR="00257EFA" w:rsidRPr="00CC5FE4">
              <w:rPr>
                <w:rFonts w:ascii="Arial" w:hAnsi="Arial" w:cs="Arial"/>
                <w:sz w:val="24"/>
              </w:rPr>
              <w:t xml:space="preserve"> was also noted that it</w:t>
            </w:r>
            <w:r w:rsidR="006E691B" w:rsidRPr="00CC5FE4">
              <w:rPr>
                <w:rFonts w:ascii="Arial" w:hAnsi="Arial" w:cs="Arial"/>
                <w:sz w:val="24"/>
              </w:rPr>
              <w:t xml:space="preserve"> is easier to schedule substances higher than </w:t>
            </w:r>
            <w:r w:rsidR="00257EFA" w:rsidRPr="00CC5FE4">
              <w:rPr>
                <w:rFonts w:ascii="Arial" w:hAnsi="Arial" w:cs="Arial"/>
                <w:sz w:val="24"/>
              </w:rPr>
              <w:t xml:space="preserve">to de-schedule </w:t>
            </w:r>
            <w:r w:rsidR="0070523E" w:rsidRPr="00CC5FE4">
              <w:rPr>
                <w:rFonts w:ascii="Arial" w:hAnsi="Arial" w:cs="Arial"/>
                <w:sz w:val="24"/>
              </w:rPr>
              <w:t xml:space="preserve">or reschedule </w:t>
            </w:r>
            <w:r w:rsidR="00257EFA" w:rsidRPr="00CC5FE4">
              <w:rPr>
                <w:rFonts w:ascii="Arial" w:hAnsi="Arial" w:cs="Arial"/>
                <w:sz w:val="24"/>
              </w:rPr>
              <w:t xml:space="preserve">to a lower Class under </w:t>
            </w:r>
            <w:proofErr w:type="spellStart"/>
            <w:r w:rsidR="00257EFA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6E691B" w:rsidRPr="00CC5FE4">
              <w:rPr>
                <w:rFonts w:ascii="Arial" w:hAnsi="Arial" w:cs="Arial"/>
                <w:sz w:val="24"/>
              </w:rPr>
              <w:t xml:space="preserve">. </w:t>
            </w:r>
          </w:p>
          <w:p w14:paraId="72C54C86" w14:textId="77777777" w:rsidR="00DD1D70" w:rsidRPr="00CC5FE4" w:rsidRDefault="00DD1D70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  <w:p w14:paraId="16159B61" w14:textId="77777777" w:rsidR="00BB1EA0" w:rsidRPr="00CC5FE4" w:rsidRDefault="00BB1EA0" w:rsidP="00BB1EA0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 xml:space="preserve">Outcome: </w:t>
            </w:r>
            <w:r w:rsidRPr="00CC5FE4">
              <w:rPr>
                <w:rFonts w:ascii="Arial" w:hAnsi="Arial" w:cs="Arial"/>
                <w:sz w:val="24"/>
              </w:rPr>
              <w:t xml:space="preserve">The Committee decided that the amount of deaths, violent and psychotic behaviours associated with the use of the drug as well as the potential for </w:t>
            </w:r>
            <w:r w:rsidRPr="00CC5FE4">
              <w:rPr>
                <w:rFonts w:ascii="Arial" w:hAnsi="Arial" w:cs="Arial"/>
                <w:sz w:val="24"/>
              </w:rPr>
              <w:lastRenderedPageBreak/>
              <w:t>dependence was enough justification to put forward the recommendation to schedule alpha-PVP as a Class A controlled drug.</w:t>
            </w:r>
          </w:p>
          <w:p w14:paraId="55F6A4E4" w14:textId="77777777" w:rsidR="00BB1EA0" w:rsidRPr="00CC5FE4" w:rsidRDefault="00BB1EA0" w:rsidP="006E691B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  <w:p w14:paraId="722091B2" w14:textId="67F41D96" w:rsidR="006E691B" w:rsidRPr="00CC5FE4" w:rsidRDefault="006E691B" w:rsidP="00473B69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Motion:</w:t>
            </w:r>
            <w:r w:rsidRPr="00CC5FE4">
              <w:rPr>
                <w:rFonts w:ascii="Arial" w:hAnsi="Arial" w:cs="Arial"/>
                <w:sz w:val="24"/>
              </w:rPr>
              <w:t xml:space="preserve"> </w:t>
            </w:r>
            <w:r w:rsidR="009505E0" w:rsidRPr="00CC5FE4">
              <w:rPr>
                <w:rFonts w:ascii="Arial" w:hAnsi="Arial" w:cs="Arial"/>
                <w:sz w:val="24"/>
              </w:rPr>
              <w:t xml:space="preserve">[redacted] </w:t>
            </w:r>
            <w:r w:rsidR="00473B69" w:rsidRPr="00CC5FE4">
              <w:rPr>
                <w:rFonts w:ascii="Arial" w:hAnsi="Arial" w:cs="Arial"/>
                <w:sz w:val="24"/>
              </w:rPr>
              <w:t>moved that</w:t>
            </w:r>
            <w:r w:rsidRPr="00CC5FE4">
              <w:rPr>
                <w:rFonts w:ascii="Arial" w:hAnsi="Arial" w:cs="Arial"/>
                <w:sz w:val="24"/>
              </w:rPr>
              <w:t xml:space="preserve"> alpha</w:t>
            </w:r>
            <w:r w:rsidR="007B6404" w:rsidRPr="00CC5FE4">
              <w:rPr>
                <w:rFonts w:ascii="Arial" w:hAnsi="Arial" w:cs="Arial"/>
                <w:sz w:val="24"/>
              </w:rPr>
              <w:t>-PVP</w:t>
            </w:r>
            <w:r w:rsidRPr="00CC5FE4">
              <w:rPr>
                <w:rFonts w:ascii="Arial" w:hAnsi="Arial" w:cs="Arial"/>
                <w:sz w:val="24"/>
              </w:rPr>
              <w:t xml:space="preserve"> be </w:t>
            </w:r>
            <w:r w:rsidR="00C7117E" w:rsidRPr="00CC5FE4">
              <w:rPr>
                <w:rFonts w:ascii="Arial" w:hAnsi="Arial" w:cs="Arial"/>
                <w:sz w:val="24"/>
              </w:rPr>
              <w:t xml:space="preserve">put forward for classification as a Class A controlled drug under </w:t>
            </w:r>
            <w:proofErr w:type="spellStart"/>
            <w:r w:rsidR="00C7117E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C7117E" w:rsidRPr="00CC5FE4">
              <w:rPr>
                <w:rFonts w:ascii="Arial" w:hAnsi="Arial" w:cs="Arial"/>
                <w:sz w:val="24"/>
              </w:rPr>
              <w:t xml:space="preserve"> </w:t>
            </w:r>
            <w:r w:rsidRPr="00CC5FE4">
              <w:rPr>
                <w:rFonts w:ascii="Arial" w:hAnsi="Arial" w:cs="Arial"/>
                <w:sz w:val="24"/>
              </w:rPr>
              <w:t xml:space="preserve">to align it with </w:t>
            </w:r>
            <w:r w:rsidR="00473B69" w:rsidRPr="00CC5FE4">
              <w:rPr>
                <w:rFonts w:ascii="Arial" w:hAnsi="Arial" w:cs="Arial"/>
                <w:sz w:val="24"/>
              </w:rPr>
              <w:t>methamphetamine due to</w:t>
            </w:r>
            <w:r w:rsidR="00C7117E" w:rsidRPr="00CC5FE4">
              <w:rPr>
                <w:rFonts w:ascii="Arial" w:hAnsi="Arial" w:cs="Arial"/>
                <w:sz w:val="24"/>
              </w:rPr>
              <w:t xml:space="preserve"> its</w:t>
            </w:r>
            <w:r w:rsidRPr="00CC5FE4">
              <w:rPr>
                <w:rFonts w:ascii="Arial" w:hAnsi="Arial" w:cs="Arial"/>
                <w:sz w:val="24"/>
              </w:rPr>
              <w:t xml:space="preserve"> high risk of harm</w:t>
            </w:r>
            <w:r w:rsidR="00686A04" w:rsidRPr="00CC5FE4">
              <w:rPr>
                <w:rFonts w:ascii="Arial" w:hAnsi="Arial" w:cs="Arial"/>
                <w:sz w:val="24"/>
              </w:rPr>
              <w:t>.</w:t>
            </w:r>
            <w:r w:rsidRPr="00CC5FE4">
              <w:rPr>
                <w:rFonts w:ascii="Arial" w:hAnsi="Arial" w:cs="Arial"/>
                <w:sz w:val="24"/>
              </w:rPr>
              <w:t xml:space="preserve"> </w:t>
            </w:r>
            <w:r w:rsidR="00257EFA" w:rsidRPr="00CC5FE4">
              <w:rPr>
                <w:rFonts w:ascii="Arial" w:hAnsi="Arial" w:cs="Arial"/>
                <w:sz w:val="24"/>
              </w:rPr>
              <w:t xml:space="preserve">Scheduling alpha-PVP as a Class A drug would also have a deterrent </w:t>
            </w:r>
            <w:r w:rsidR="00BB1EA0" w:rsidRPr="00CC5FE4">
              <w:rPr>
                <w:rFonts w:ascii="Arial" w:hAnsi="Arial" w:cs="Arial"/>
                <w:sz w:val="24"/>
              </w:rPr>
              <w:t>effect on</w:t>
            </w:r>
            <w:r w:rsidR="00257EFA" w:rsidRPr="00CC5FE4">
              <w:rPr>
                <w:rFonts w:ascii="Arial" w:hAnsi="Arial" w:cs="Arial"/>
                <w:sz w:val="24"/>
              </w:rPr>
              <w:t xml:space="preserve"> substitution for Class B scheduled drugs such as MDMA and </w:t>
            </w:r>
            <w:proofErr w:type="spellStart"/>
            <w:r w:rsidR="00257EFA" w:rsidRPr="00CC5FE4">
              <w:rPr>
                <w:rFonts w:ascii="Arial" w:hAnsi="Arial" w:cs="Arial"/>
                <w:sz w:val="24"/>
              </w:rPr>
              <w:t>NBOMes</w:t>
            </w:r>
            <w:proofErr w:type="spellEnd"/>
            <w:r w:rsidR="00257EFA" w:rsidRPr="00CC5FE4">
              <w:rPr>
                <w:rFonts w:ascii="Arial" w:hAnsi="Arial" w:cs="Arial"/>
                <w:sz w:val="24"/>
              </w:rPr>
              <w:t>.</w:t>
            </w:r>
            <w:r w:rsidR="00BB1EA0" w:rsidRPr="00CC5FE4">
              <w:rPr>
                <w:rFonts w:ascii="Arial" w:hAnsi="Arial" w:cs="Arial"/>
                <w:sz w:val="24"/>
              </w:rPr>
              <w:t xml:space="preserve"> </w:t>
            </w:r>
            <w:r w:rsidR="00686A04" w:rsidRPr="00CC5FE4">
              <w:rPr>
                <w:rFonts w:ascii="Arial" w:hAnsi="Arial" w:cs="Arial"/>
                <w:sz w:val="24"/>
              </w:rPr>
              <w:t>The motion was s</w:t>
            </w:r>
            <w:r w:rsidRPr="00CC5FE4">
              <w:rPr>
                <w:rFonts w:ascii="Arial" w:hAnsi="Arial" w:cs="Arial"/>
                <w:sz w:val="24"/>
              </w:rPr>
              <w:t xml:space="preserve">econded by </w:t>
            </w:r>
            <w:r w:rsidR="009505E0" w:rsidRPr="00CC5FE4">
              <w:rPr>
                <w:rFonts w:ascii="Arial" w:hAnsi="Arial" w:cs="Arial"/>
                <w:sz w:val="24"/>
              </w:rPr>
              <w:t>[redacted]</w:t>
            </w:r>
            <w:r w:rsidR="00473B69" w:rsidRPr="00CC5FE4">
              <w:rPr>
                <w:rFonts w:ascii="Arial" w:hAnsi="Arial" w:cs="Arial"/>
                <w:sz w:val="24"/>
              </w:rPr>
              <w:t xml:space="preserve">. </w:t>
            </w:r>
            <w:r w:rsidR="00686A04" w:rsidRPr="00CC5FE4">
              <w:rPr>
                <w:rFonts w:ascii="Arial" w:hAnsi="Arial" w:cs="Arial"/>
                <w:sz w:val="24"/>
              </w:rPr>
              <w:t>The Committee voted unanimously in favour.</w:t>
            </w:r>
          </w:p>
          <w:p w14:paraId="668255D1" w14:textId="77777777" w:rsidR="00BB1EA0" w:rsidRPr="00CC5FE4" w:rsidRDefault="00BB1EA0" w:rsidP="00473B69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  <w:p w14:paraId="31233261" w14:textId="77777777" w:rsidR="0096737F" w:rsidRPr="00CC5FE4" w:rsidRDefault="00BB1EA0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 xml:space="preserve">Action: </w:t>
            </w:r>
            <w:r w:rsidRPr="00CC5FE4">
              <w:rPr>
                <w:rFonts w:ascii="Arial" w:hAnsi="Arial" w:cs="Arial"/>
                <w:sz w:val="24"/>
              </w:rPr>
              <w:t xml:space="preserve">Secretariat to begin process to schedule alpha-PVP as a Class A controlled drug under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>.</w:t>
            </w:r>
          </w:p>
          <w:p w14:paraId="2E508BF4" w14:textId="77777777" w:rsidR="007A5876" w:rsidRPr="00CC5FE4" w:rsidRDefault="007A5876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</w:tc>
      </w:tr>
      <w:tr w:rsidR="005247A1" w:rsidRPr="00CC5FE4" w14:paraId="01EDE97F" w14:textId="77777777" w:rsidTr="00AB5BE7">
        <w:tc>
          <w:tcPr>
            <w:tcW w:w="720" w:type="dxa"/>
          </w:tcPr>
          <w:p w14:paraId="5B06E137" w14:textId="77777777" w:rsidR="005247A1" w:rsidRPr="00CC5FE4" w:rsidRDefault="005247A1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lastRenderedPageBreak/>
              <w:t>7</w:t>
            </w:r>
          </w:p>
        </w:tc>
        <w:tc>
          <w:tcPr>
            <w:tcW w:w="9180" w:type="dxa"/>
          </w:tcPr>
          <w:p w14:paraId="31FAE9F3" w14:textId="77777777" w:rsidR="005247A1" w:rsidRPr="00CC5FE4" w:rsidRDefault="007A5876" w:rsidP="00DB735A">
            <w:pPr>
              <w:rPr>
                <w:rFonts w:ascii="Arial" w:hAnsi="Arial" w:cs="Arial"/>
                <w:b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Break for lunch 12.30pm – 1pm</w:t>
            </w:r>
          </w:p>
        </w:tc>
      </w:tr>
      <w:tr w:rsidR="005247A1" w:rsidRPr="00CC5FE4" w14:paraId="0BF1BB76" w14:textId="77777777" w:rsidTr="00AB5BE7">
        <w:tc>
          <w:tcPr>
            <w:tcW w:w="720" w:type="dxa"/>
          </w:tcPr>
          <w:p w14:paraId="1F2354ED" w14:textId="77777777" w:rsidR="005247A1" w:rsidRPr="00CC5FE4" w:rsidRDefault="005247A1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9180" w:type="dxa"/>
          </w:tcPr>
          <w:p w14:paraId="297DCCE3" w14:textId="77777777" w:rsidR="005247A1" w:rsidRPr="00CC5FE4" w:rsidRDefault="007A5876" w:rsidP="00C05BAA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proofErr w:type="spellStart"/>
            <w:r w:rsidRPr="00CC5FE4">
              <w:rPr>
                <w:rFonts w:ascii="Arial" w:hAnsi="Arial" w:cs="Arial"/>
                <w:b/>
                <w:sz w:val="24"/>
              </w:rPr>
              <w:t>Hypophosphorous</w:t>
            </w:r>
            <w:proofErr w:type="spellEnd"/>
            <w:r w:rsidRPr="00CC5FE4">
              <w:rPr>
                <w:rFonts w:ascii="Arial" w:hAnsi="Arial" w:cs="Arial"/>
                <w:b/>
                <w:sz w:val="24"/>
              </w:rPr>
              <w:t xml:space="preserve"> Acid and other Precursors</w:t>
            </w:r>
          </w:p>
          <w:p w14:paraId="5A29E134" w14:textId="77777777" w:rsidR="00220163" w:rsidRPr="00CC5FE4" w:rsidRDefault="006E060E" w:rsidP="00C05BAA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At the previous meeting, the Commi</w:t>
            </w:r>
            <w:r w:rsidR="00F60963" w:rsidRPr="00CC5FE4">
              <w:rPr>
                <w:rFonts w:ascii="Arial" w:hAnsi="Arial" w:cs="Arial"/>
                <w:sz w:val="24"/>
              </w:rPr>
              <w:t xml:space="preserve">ttee </w:t>
            </w:r>
            <w:r w:rsidR="00C20DAA" w:rsidRPr="00CC5FE4">
              <w:rPr>
                <w:rFonts w:ascii="Arial" w:hAnsi="Arial" w:cs="Arial"/>
                <w:sz w:val="24"/>
              </w:rPr>
              <w:t>considered</w:t>
            </w:r>
            <w:r w:rsidR="00F60963" w:rsidRPr="00CC5FE4">
              <w:rPr>
                <w:rFonts w:ascii="Arial" w:hAnsi="Arial" w:cs="Arial"/>
                <w:sz w:val="24"/>
              </w:rPr>
              <w:t xml:space="preserve"> a paper </w:t>
            </w:r>
            <w:r w:rsidR="00C20DAA" w:rsidRPr="00CC5FE4">
              <w:rPr>
                <w:rFonts w:ascii="Arial" w:hAnsi="Arial" w:cs="Arial"/>
                <w:sz w:val="24"/>
              </w:rPr>
              <w:t>from NDIB that was produced in 2013 that</w:t>
            </w:r>
            <w:r w:rsidR="00D63EDD" w:rsidRPr="00CC5FE4">
              <w:rPr>
                <w:rFonts w:ascii="Arial" w:hAnsi="Arial" w:cs="Arial"/>
                <w:sz w:val="24"/>
              </w:rPr>
              <w:t xml:space="preserve"> looked</w:t>
            </w:r>
            <w:r w:rsidRPr="00CC5FE4">
              <w:rPr>
                <w:rFonts w:ascii="Arial" w:hAnsi="Arial" w:cs="Arial"/>
                <w:sz w:val="24"/>
              </w:rPr>
              <w:t xml:space="preserve"> at precursor chemicals</w:t>
            </w:r>
            <w:r w:rsidR="007B1CC9" w:rsidRPr="00CC5FE4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="007B1CC9" w:rsidRPr="00CC5FE4">
              <w:rPr>
                <w:rFonts w:ascii="Arial" w:hAnsi="Arial" w:cs="Arial"/>
                <w:sz w:val="24"/>
              </w:rPr>
              <w:t>hypophosphorous</w:t>
            </w:r>
            <w:proofErr w:type="spellEnd"/>
            <w:r w:rsidR="007B1CC9" w:rsidRPr="00CC5FE4">
              <w:rPr>
                <w:rFonts w:ascii="Arial" w:hAnsi="Arial" w:cs="Arial"/>
                <w:sz w:val="24"/>
              </w:rPr>
              <w:t xml:space="preserve"> acid in particular</w:t>
            </w:r>
            <w:r w:rsidRPr="00CC5FE4">
              <w:rPr>
                <w:rFonts w:ascii="Arial" w:hAnsi="Arial" w:cs="Arial"/>
                <w:sz w:val="24"/>
              </w:rPr>
              <w:t xml:space="preserve">. </w:t>
            </w:r>
            <w:r w:rsidR="00F60963" w:rsidRPr="00CC5FE4">
              <w:rPr>
                <w:rFonts w:ascii="Arial" w:hAnsi="Arial" w:cs="Arial"/>
                <w:sz w:val="24"/>
              </w:rPr>
              <w:t>Since the last meeting, NDIB have been asked to put together a paper</w:t>
            </w:r>
            <w:r w:rsidRPr="00CC5FE4">
              <w:rPr>
                <w:rFonts w:ascii="Arial" w:hAnsi="Arial" w:cs="Arial"/>
                <w:sz w:val="24"/>
              </w:rPr>
              <w:t xml:space="preserve"> </w:t>
            </w:r>
            <w:r w:rsidR="00F60963" w:rsidRPr="00CC5FE4">
              <w:rPr>
                <w:rFonts w:ascii="Arial" w:hAnsi="Arial" w:cs="Arial"/>
                <w:sz w:val="24"/>
              </w:rPr>
              <w:t>that looks at a number of precursors to be considered together.</w:t>
            </w:r>
            <w:r w:rsidR="00473B69" w:rsidRPr="00CC5FE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F60963" w:rsidRPr="00CC5FE4">
              <w:rPr>
                <w:rFonts w:ascii="Arial" w:hAnsi="Arial" w:cs="Arial"/>
                <w:sz w:val="24"/>
              </w:rPr>
              <w:t>Hypophosphorous</w:t>
            </w:r>
            <w:proofErr w:type="spellEnd"/>
            <w:r w:rsidR="00F60963" w:rsidRPr="00CC5FE4">
              <w:rPr>
                <w:rFonts w:ascii="Arial" w:hAnsi="Arial" w:cs="Arial"/>
                <w:sz w:val="24"/>
              </w:rPr>
              <w:t xml:space="preserve"> acid, red phosphorous, </w:t>
            </w:r>
            <w:r w:rsidR="00E36833" w:rsidRPr="00CC5FE4">
              <w:rPr>
                <w:rFonts w:ascii="Arial" w:hAnsi="Arial" w:cs="Arial"/>
                <w:sz w:val="24"/>
              </w:rPr>
              <w:t xml:space="preserve">phosphorous acid, </w:t>
            </w:r>
            <w:r w:rsidR="00F60963" w:rsidRPr="00CC5FE4">
              <w:rPr>
                <w:rFonts w:ascii="Arial" w:hAnsi="Arial" w:cs="Arial"/>
                <w:sz w:val="24"/>
              </w:rPr>
              <w:t xml:space="preserve">iodine and </w:t>
            </w:r>
            <w:proofErr w:type="spellStart"/>
            <w:r w:rsidR="00F60963" w:rsidRPr="00CC5FE4">
              <w:rPr>
                <w:rFonts w:ascii="Arial" w:hAnsi="Arial" w:cs="Arial"/>
                <w:sz w:val="24"/>
              </w:rPr>
              <w:t>hydriodic</w:t>
            </w:r>
            <w:proofErr w:type="spellEnd"/>
            <w:r w:rsidR="00F60963" w:rsidRPr="00CC5FE4">
              <w:rPr>
                <w:rFonts w:ascii="Arial" w:hAnsi="Arial" w:cs="Arial"/>
                <w:sz w:val="24"/>
              </w:rPr>
              <w:t xml:space="preserve"> acid have been identified by ESR and Police as being primary industrial chemicals that are misused in the illicit manufacture of methamphetamine, however these products have a number of legitimate uses. There are still s</w:t>
            </w:r>
            <w:r w:rsidR="00473B69" w:rsidRPr="00CC5FE4">
              <w:rPr>
                <w:rFonts w:ascii="Arial" w:hAnsi="Arial" w:cs="Arial"/>
                <w:sz w:val="24"/>
              </w:rPr>
              <w:t>ignificant amount</w:t>
            </w:r>
            <w:r w:rsidR="00F60963" w:rsidRPr="00CC5FE4">
              <w:rPr>
                <w:rFonts w:ascii="Arial" w:hAnsi="Arial" w:cs="Arial"/>
                <w:sz w:val="24"/>
              </w:rPr>
              <w:t>s</w:t>
            </w:r>
            <w:r w:rsidR="00473B69" w:rsidRPr="00CC5FE4">
              <w:rPr>
                <w:rFonts w:ascii="Arial" w:hAnsi="Arial" w:cs="Arial"/>
                <w:sz w:val="24"/>
              </w:rPr>
              <w:t xml:space="preserve"> of </w:t>
            </w:r>
            <w:r w:rsidR="00BB1EA0" w:rsidRPr="00CC5FE4">
              <w:rPr>
                <w:rFonts w:ascii="Arial" w:hAnsi="Arial" w:cs="Arial"/>
                <w:sz w:val="24"/>
              </w:rPr>
              <w:t>precursors</w:t>
            </w:r>
            <w:r w:rsidR="00473B69" w:rsidRPr="00CC5FE4">
              <w:rPr>
                <w:rFonts w:ascii="Arial" w:hAnsi="Arial" w:cs="Arial"/>
                <w:sz w:val="24"/>
              </w:rPr>
              <w:t xml:space="preserve"> being seen coming into the country</w:t>
            </w:r>
            <w:r w:rsidR="00F60963" w:rsidRPr="00CC5FE4">
              <w:rPr>
                <w:rFonts w:ascii="Arial" w:hAnsi="Arial" w:cs="Arial"/>
                <w:sz w:val="24"/>
              </w:rPr>
              <w:t>, which indicates that methamphetamine is still being manufactured in NZ</w:t>
            </w:r>
            <w:r w:rsidR="00473B69" w:rsidRPr="00CC5FE4">
              <w:rPr>
                <w:rFonts w:ascii="Arial" w:hAnsi="Arial" w:cs="Arial"/>
                <w:sz w:val="24"/>
              </w:rPr>
              <w:t xml:space="preserve">. </w:t>
            </w:r>
            <w:r w:rsidR="00220163" w:rsidRPr="00CC5FE4">
              <w:rPr>
                <w:rFonts w:ascii="Arial" w:hAnsi="Arial" w:cs="Arial"/>
                <w:sz w:val="24"/>
              </w:rPr>
              <w:t xml:space="preserve">The technical paper proposed that the named precursor chemicals be put forward for scheduling under the precursor provision in </w:t>
            </w:r>
            <w:proofErr w:type="spellStart"/>
            <w:r w:rsidR="00220163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220163" w:rsidRPr="00CC5FE4">
              <w:rPr>
                <w:rFonts w:ascii="Arial" w:hAnsi="Arial" w:cs="Arial"/>
                <w:sz w:val="24"/>
              </w:rPr>
              <w:t xml:space="preserve">. </w:t>
            </w:r>
          </w:p>
          <w:p w14:paraId="13B15F56" w14:textId="77777777" w:rsidR="00220163" w:rsidRPr="00CC5FE4" w:rsidRDefault="00220163" w:rsidP="00C05BAA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  <w:p w14:paraId="16A318BF" w14:textId="77777777" w:rsidR="002313C2" w:rsidRPr="00CC5FE4" w:rsidRDefault="00B24227" w:rsidP="00C05BAA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One of the concerns previous</w:t>
            </w:r>
            <w:r w:rsidR="0070523E" w:rsidRPr="00CC5FE4">
              <w:rPr>
                <w:rFonts w:ascii="Arial" w:hAnsi="Arial" w:cs="Arial"/>
                <w:sz w:val="24"/>
              </w:rPr>
              <w:t>ly</w:t>
            </w:r>
            <w:r w:rsidRPr="00CC5FE4">
              <w:rPr>
                <w:rFonts w:ascii="Arial" w:hAnsi="Arial" w:cs="Arial"/>
                <w:sz w:val="24"/>
              </w:rPr>
              <w:t xml:space="preserve"> raised was the impact that scheduling the named chemical</w:t>
            </w:r>
            <w:r w:rsidR="002313C2" w:rsidRPr="00CC5FE4">
              <w:rPr>
                <w:rFonts w:ascii="Arial" w:hAnsi="Arial" w:cs="Arial"/>
                <w:sz w:val="24"/>
              </w:rPr>
              <w:t>s would have on industry as there are</w:t>
            </w:r>
            <w:r w:rsidRPr="00CC5FE4">
              <w:rPr>
                <w:rFonts w:ascii="Arial" w:hAnsi="Arial" w:cs="Arial"/>
                <w:sz w:val="24"/>
              </w:rPr>
              <w:t xml:space="preserve"> multiple legitimate uses. NDIB have already been in contact with Responsible C</w:t>
            </w:r>
            <w:r w:rsidR="002313C2" w:rsidRPr="00CC5FE4">
              <w:rPr>
                <w:rFonts w:ascii="Arial" w:hAnsi="Arial" w:cs="Arial"/>
                <w:sz w:val="24"/>
              </w:rPr>
              <w:t>are, who represents the majority of NZ’s major manufacturers and importers of hazardous substances</w:t>
            </w:r>
            <w:r w:rsidRPr="00CC5FE4">
              <w:rPr>
                <w:rFonts w:ascii="Arial" w:hAnsi="Arial" w:cs="Arial"/>
                <w:sz w:val="24"/>
              </w:rPr>
              <w:t>. Responsible C</w:t>
            </w:r>
            <w:r w:rsidR="00473B69" w:rsidRPr="00CC5FE4">
              <w:rPr>
                <w:rFonts w:ascii="Arial" w:hAnsi="Arial" w:cs="Arial"/>
                <w:sz w:val="24"/>
              </w:rPr>
              <w:t>are</w:t>
            </w:r>
            <w:r w:rsidR="00E615B6" w:rsidRPr="00CC5FE4">
              <w:rPr>
                <w:rFonts w:ascii="Arial" w:hAnsi="Arial" w:cs="Arial"/>
                <w:sz w:val="24"/>
              </w:rPr>
              <w:t xml:space="preserve"> had consulted industry and </w:t>
            </w:r>
            <w:r w:rsidR="002313C2" w:rsidRPr="00CC5FE4">
              <w:rPr>
                <w:rFonts w:ascii="Arial" w:hAnsi="Arial" w:cs="Arial"/>
                <w:sz w:val="24"/>
              </w:rPr>
              <w:t xml:space="preserve">were in support of the proposal to schedule the named precursors under </w:t>
            </w:r>
            <w:proofErr w:type="spellStart"/>
            <w:r w:rsidR="00E615B6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473B69" w:rsidRPr="00CC5FE4">
              <w:rPr>
                <w:rFonts w:ascii="Arial" w:hAnsi="Arial" w:cs="Arial"/>
                <w:sz w:val="24"/>
              </w:rPr>
              <w:t xml:space="preserve">. </w:t>
            </w:r>
            <w:r w:rsidR="00EB537C" w:rsidRPr="00CC5FE4">
              <w:rPr>
                <w:rFonts w:ascii="Arial" w:hAnsi="Arial" w:cs="Arial"/>
                <w:sz w:val="24"/>
              </w:rPr>
              <w:t xml:space="preserve">Police are still finding a significant number of these chemicals amongst organised crime. Scheduling the named precursors under </w:t>
            </w:r>
            <w:proofErr w:type="spellStart"/>
            <w:r w:rsidR="00EB537C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EB537C" w:rsidRPr="00CC5FE4">
              <w:rPr>
                <w:rFonts w:ascii="Arial" w:hAnsi="Arial" w:cs="Arial"/>
                <w:sz w:val="24"/>
              </w:rPr>
              <w:t xml:space="preserve"> would act as a deterrent to those supplying precursors for illicit purposes. </w:t>
            </w:r>
          </w:p>
          <w:p w14:paraId="09F91B33" w14:textId="77777777" w:rsidR="002313C2" w:rsidRPr="00CC5FE4" w:rsidRDefault="002313C2" w:rsidP="00C05BAA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  <w:p w14:paraId="349535C4" w14:textId="77777777" w:rsidR="0096737F" w:rsidRPr="00CC5FE4" w:rsidRDefault="00EB537C" w:rsidP="00C05BAA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There was a discussion around whether there were already provisions under the H</w:t>
            </w:r>
            <w:r w:rsidR="003E1EBC" w:rsidRPr="00CC5FE4">
              <w:rPr>
                <w:rFonts w:ascii="Arial" w:hAnsi="Arial" w:cs="Arial"/>
                <w:sz w:val="24"/>
              </w:rPr>
              <w:t>azardous Substances and New Organisms Act 1996 (H</w:t>
            </w:r>
            <w:r w:rsidRPr="00CC5FE4">
              <w:rPr>
                <w:rFonts w:ascii="Arial" w:hAnsi="Arial" w:cs="Arial"/>
                <w:sz w:val="24"/>
              </w:rPr>
              <w:t>SNO</w:t>
            </w:r>
            <w:r w:rsidR="003E1EBC" w:rsidRPr="00CC5FE4">
              <w:rPr>
                <w:rFonts w:ascii="Arial" w:hAnsi="Arial" w:cs="Arial"/>
                <w:sz w:val="24"/>
              </w:rPr>
              <w:t>)</w:t>
            </w:r>
            <w:r w:rsidRPr="00CC5FE4">
              <w:rPr>
                <w:rFonts w:ascii="Arial" w:hAnsi="Arial" w:cs="Arial"/>
                <w:sz w:val="24"/>
              </w:rPr>
              <w:t xml:space="preserve">. </w:t>
            </w:r>
            <w:r w:rsidR="003E1EBC" w:rsidRPr="00CC5FE4">
              <w:rPr>
                <w:rFonts w:ascii="Arial" w:hAnsi="Arial" w:cs="Arial"/>
                <w:sz w:val="24"/>
              </w:rPr>
              <w:t xml:space="preserve">However, it was noted that even if the named precursor substances were regulated under </w:t>
            </w:r>
            <w:r w:rsidRPr="00CC5FE4">
              <w:rPr>
                <w:rFonts w:ascii="Arial" w:hAnsi="Arial" w:cs="Arial"/>
                <w:sz w:val="24"/>
              </w:rPr>
              <w:t>HSNO</w:t>
            </w:r>
            <w:r w:rsidR="003E1EBC" w:rsidRPr="00CC5FE4">
              <w:rPr>
                <w:rFonts w:ascii="Arial" w:hAnsi="Arial" w:cs="Arial"/>
                <w:sz w:val="24"/>
              </w:rPr>
              <w:t>, it</w:t>
            </w:r>
            <w:r w:rsidRPr="00CC5FE4">
              <w:rPr>
                <w:rFonts w:ascii="Arial" w:hAnsi="Arial" w:cs="Arial"/>
                <w:sz w:val="24"/>
              </w:rPr>
              <w:t xml:space="preserve"> </w:t>
            </w:r>
            <w:r w:rsidR="003E1EBC" w:rsidRPr="00CC5FE4">
              <w:rPr>
                <w:rFonts w:ascii="Arial" w:hAnsi="Arial" w:cs="Arial"/>
                <w:sz w:val="24"/>
              </w:rPr>
              <w:t>doesn’t have any regulations for importation monitoring; only labelling, storage and transport requirements.</w:t>
            </w:r>
          </w:p>
          <w:p w14:paraId="5B3C698E" w14:textId="77777777" w:rsidR="00B449E2" w:rsidRPr="00CC5FE4" w:rsidRDefault="00B449E2" w:rsidP="00C05BAA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  <w:p w14:paraId="37AA661F" w14:textId="77777777" w:rsidR="00B21DA8" w:rsidRPr="00CC5FE4" w:rsidRDefault="00EB537C" w:rsidP="00C05BAA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It was also noted that t</w:t>
            </w:r>
            <w:r w:rsidR="00B449E2" w:rsidRPr="00CC5FE4">
              <w:rPr>
                <w:rFonts w:ascii="Arial" w:hAnsi="Arial" w:cs="Arial"/>
                <w:sz w:val="24"/>
              </w:rPr>
              <w:t xml:space="preserve">here is already a provision under </w:t>
            </w:r>
            <w:proofErr w:type="spellStart"/>
            <w:r w:rsidR="00B449E2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B449E2" w:rsidRPr="00CC5FE4">
              <w:rPr>
                <w:rFonts w:ascii="Arial" w:hAnsi="Arial" w:cs="Arial"/>
                <w:sz w:val="24"/>
              </w:rPr>
              <w:t xml:space="preserve"> that covers </w:t>
            </w:r>
            <w:r w:rsidR="00276B0F" w:rsidRPr="00CC5FE4">
              <w:rPr>
                <w:rFonts w:ascii="Arial" w:hAnsi="Arial" w:cs="Arial"/>
                <w:sz w:val="24"/>
              </w:rPr>
              <w:t>possession of precursor substances and the supply, production or manufacture of precursors intended for illicit use</w:t>
            </w:r>
            <w:r w:rsidR="00B449E2" w:rsidRPr="00CC5FE4">
              <w:rPr>
                <w:rFonts w:ascii="Arial" w:hAnsi="Arial" w:cs="Arial"/>
                <w:sz w:val="24"/>
              </w:rPr>
              <w:t>.</w:t>
            </w:r>
            <w:r w:rsidR="00E50553" w:rsidRPr="00CC5FE4">
              <w:rPr>
                <w:rFonts w:ascii="Arial" w:hAnsi="Arial" w:cs="Arial"/>
                <w:sz w:val="24"/>
              </w:rPr>
              <w:t xml:space="preserve"> </w:t>
            </w:r>
            <w:r w:rsidR="00BB1EA0" w:rsidRPr="00CC5FE4">
              <w:rPr>
                <w:rFonts w:ascii="Arial" w:hAnsi="Arial" w:cs="Arial"/>
                <w:sz w:val="24"/>
              </w:rPr>
              <w:t>However</w:t>
            </w:r>
            <w:r w:rsidR="003E1EBC" w:rsidRPr="00CC5FE4">
              <w:rPr>
                <w:rFonts w:ascii="Arial" w:hAnsi="Arial" w:cs="Arial"/>
                <w:sz w:val="24"/>
              </w:rPr>
              <w:t xml:space="preserve"> knowledge of the </w:t>
            </w:r>
            <w:r w:rsidR="00DC7CB1" w:rsidRPr="00CC5FE4">
              <w:rPr>
                <w:rFonts w:ascii="Arial" w:hAnsi="Arial" w:cs="Arial"/>
                <w:sz w:val="24"/>
              </w:rPr>
              <w:t>illicit end use has to be proven</w:t>
            </w:r>
            <w:r w:rsidR="00E50553" w:rsidRPr="00CC5FE4">
              <w:rPr>
                <w:rFonts w:ascii="Arial" w:hAnsi="Arial" w:cs="Arial"/>
                <w:sz w:val="24"/>
              </w:rPr>
              <w:t xml:space="preserve"> </w:t>
            </w:r>
            <w:r w:rsidR="00276B0F" w:rsidRPr="00CC5FE4">
              <w:rPr>
                <w:rFonts w:ascii="Arial" w:hAnsi="Arial" w:cs="Arial"/>
                <w:sz w:val="24"/>
              </w:rPr>
              <w:t>(Section 12A</w:t>
            </w:r>
            <w:r w:rsidR="0070523E" w:rsidRPr="00CC5FE4">
              <w:rPr>
                <w:rFonts w:ascii="Arial" w:hAnsi="Arial" w:cs="Arial"/>
                <w:sz w:val="24"/>
              </w:rPr>
              <w:t xml:space="preserve"> and 12AB,</w:t>
            </w:r>
            <w:r w:rsidR="00DC7CB1" w:rsidRPr="00CC5FE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E50553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E50553" w:rsidRPr="00CC5FE4">
              <w:rPr>
                <w:rFonts w:ascii="Arial" w:hAnsi="Arial" w:cs="Arial"/>
                <w:sz w:val="24"/>
              </w:rPr>
              <w:t xml:space="preserve">). </w:t>
            </w:r>
            <w:r w:rsidR="00276B0F" w:rsidRPr="00CC5FE4">
              <w:rPr>
                <w:rFonts w:ascii="Arial" w:hAnsi="Arial" w:cs="Arial"/>
                <w:sz w:val="24"/>
              </w:rPr>
              <w:t xml:space="preserve">Scheduling the named substances under part 2 schedule 4 in </w:t>
            </w:r>
            <w:proofErr w:type="spellStart"/>
            <w:r w:rsidR="00276B0F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276B0F" w:rsidRPr="00CC5FE4">
              <w:rPr>
                <w:rFonts w:ascii="Arial" w:hAnsi="Arial" w:cs="Arial"/>
                <w:sz w:val="24"/>
              </w:rPr>
              <w:t xml:space="preserve"> would give</w:t>
            </w:r>
            <w:r w:rsidR="00B21DA8" w:rsidRPr="00CC5FE4">
              <w:rPr>
                <w:rFonts w:ascii="Arial" w:hAnsi="Arial" w:cs="Arial"/>
                <w:sz w:val="24"/>
              </w:rPr>
              <w:t xml:space="preserve"> Customs</w:t>
            </w:r>
            <w:r w:rsidR="00276B0F" w:rsidRPr="00CC5FE4">
              <w:rPr>
                <w:rFonts w:ascii="Arial" w:hAnsi="Arial" w:cs="Arial"/>
                <w:sz w:val="24"/>
              </w:rPr>
              <w:t xml:space="preserve"> more </w:t>
            </w:r>
            <w:r w:rsidR="00240CC5" w:rsidRPr="00CC5FE4">
              <w:rPr>
                <w:rFonts w:ascii="Arial" w:hAnsi="Arial" w:cs="Arial"/>
                <w:sz w:val="24"/>
              </w:rPr>
              <w:t xml:space="preserve">search </w:t>
            </w:r>
            <w:r w:rsidR="00276B0F" w:rsidRPr="00CC5FE4">
              <w:rPr>
                <w:rFonts w:ascii="Arial" w:hAnsi="Arial" w:cs="Arial"/>
                <w:sz w:val="24"/>
              </w:rPr>
              <w:t>powers around import and export which may m</w:t>
            </w:r>
            <w:r w:rsidR="00B21DA8" w:rsidRPr="00CC5FE4">
              <w:rPr>
                <w:rFonts w:ascii="Arial" w:hAnsi="Arial" w:cs="Arial"/>
                <w:sz w:val="24"/>
              </w:rPr>
              <w:t xml:space="preserve">ake some of the elements of </w:t>
            </w:r>
            <w:r w:rsidR="00276B0F" w:rsidRPr="00CC5FE4">
              <w:rPr>
                <w:rFonts w:ascii="Arial" w:hAnsi="Arial" w:cs="Arial"/>
                <w:sz w:val="24"/>
              </w:rPr>
              <w:t xml:space="preserve">an </w:t>
            </w:r>
            <w:r w:rsidR="00B21DA8" w:rsidRPr="00CC5FE4">
              <w:rPr>
                <w:rFonts w:ascii="Arial" w:hAnsi="Arial" w:cs="Arial"/>
                <w:sz w:val="24"/>
              </w:rPr>
              <w:t>offence easier to prove</w:t>
            </w:r>
            <w:r w:rsidR="00240CC5" w:rsidRPr="00CC5FE4">
              <w:rPr>
                <w:rFonts w:ascii="Arial" w:hAnsi="Arial" w:cs="Arial"/>
                <w:sz w:val="24"/>
              </w:rPr>
              <w:t xml:space="preserve"> (</w:t>
            </w:r>
            <w:r w:rsidR="0070523E" w:rsidRPr="00CC5FE4">
              <w:rPr>
                <w:rFonts w:ascii="Arial" w:hAnsi="Arial" w:cs="Arial"/>
                <w:sz w:val="24"/>
              </w:rPr>
              <w:t xml:space="preserve">Section 36, </w:t>
            </w:r>
            <w:proofErr w:type="spellStart"/>
            <w:r w:rsidR="0070523E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240CC5" w:rsidRPr="00CC5FE4">
              <w:rPr>
                <w:rFonts w:ascii="Arial" w:hAnsi="Arial" w:cs="Arial"/>
                <w:sz w:val="24"/>
              </w:rPr>
              <w:t>)</w:t>
            </w:r>
            <w:r w:rsidR="00B21DA8" w:rsidRPr="00CC5FE4">
              <w:rPr>
                <w:rFonts w:ascii="Arial" w:hAnsi="Arial" w:cs="Arial"/>
                <w:sz w:val="24"/>
              </w:rPr>
              <w:t>.</w:t>
            </w:r>
            <w:r w:rsidR="00240CC5" w:rsidRPr="00CC5FE4">
              <w:rPr>
                <w:rFonts w:ascii="Arial" w:hAnsi="Arial" w:cs="Arial"/>
                <w:sz w:val="24"/>
              </w:rPr>
              <w:t xml:space="preserve"> Scheduling the named precursors under </w:t>
            </w:r>
            <w:proofErr w:type="spellStart"/>
            <w:r w:rsidR="00240CC5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240CC5" w:rsidRPr="00CC5FE4">
              <w:rPr>
                <w:rFonts w:ascii="Arial" w:hAnsi="Arial" w:cs="Arial"/>
                <w:sz w:val="24"/>
              </w:rPr>
              <w:t xml:space="preserve"> do not appear to have any additional burdens to industry as there are no licensing requirements.</w:t>
            </w:r>
          </w:p>
          <w:p w14:paraId="1F1C7E91" w14:textId="77777777" w:rsidR="00B21DA8" w:rsidRPr="00CC5FE4" w:rsidRDefault="00B21DA8" w:rsidP="00C05BAA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  <w:p w14:paraId="23304935" w14:textId="77777777" w:rsidR="00550EC6" w:rsidRPr="00CC5FE4" w:rsidRDefault="00550EC6" w:rsidP="00550EC6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 xml:space="preserve">Outcome: </w:t>
            </w:r>
            <w:r w:rsidR="00240CC5" w:rsidRPr="00CC5FE4">
              <w:rPr>
                <w:rFonts w:ascii="Arial" w:hAnsi="Arial" w:cs="Arial"/>
                <w:sz w:val="24"/>
              </w:rPr>
              <w:t xml:space="preserve">The Committee agreed to put forward </w:t>
            </w:r>
            <w:proofErr w:type="spellStart"/>
            <w:r w:rsidR="00240CC5" w:rsidRPr="00CC5FE4">
              <w:rPr>
                <w:rFonts w:ascii="Arial" w:hAnsi="Arial" w:cs="Arial"/>
                <w:sz w:val="24"/>
              </w:rPr>
              <w:t>hypophosphorous</w:t>
            </w:r>
            <w:proofErr w:type="spellEnd"/>
            <w:r w:rsidR="00240CC5" w:rsidRPr="00CC5FE4">
              <w:rPr>
                <w:rFonts w:ascii="Arial" w:hAnsi="Arial" w:cs="Arial"/>
                <w:sz w:val="24"/>
              </w:rPr>
              <w:t xml:space="preserve"> acid, red phosphorous, </w:t>
            </w:r>
            <w:r w:rsidR="00E36833" w:rsidRPr="00CC5FE4">
              <w:rPr>
                <w:rFonts w:ascii="Arial" w:hAnsi="Arial" w:cs="Arial"/>
                <w:sz w:val="24"/>
              </w:rPr>
              <w:t xml:space="preserve">phosphorous acid, </w:t>
            </w:r>
            <w:r w:rsidR="00240CC5" w:rsidRPr="00CC5FE4">
              <w:rPr>
                <w:rFonts w:ascii="Arial" w:hAnsi="Arial" w:cs="Arial"/>
                <w:sz w:val="24"/>
              </w:rPr>
              <w:t xml:space="preserve">iodine and </w:t>
            </w:r>
            <w:proofErr w:type="spellStart"/>
            <w:r w:rsidR="00240CC5" w:rsidRPr="00CC5FE4">
              <w:rPr>
                <w:rFonts w:ascii="Arial" w:hAnsi="Arial" w:cs="Arial"/>
                <w:sz w:val="24"/>
              </w:rPr>
              <w:t>hydriodic</w:t>
            </w:r>
            <w:proofErr w:type="spellEnd"/>
            <w:r w:rsidR="00240CC5" w:rsidRPr="00CC5FE4">
              <w:rPr>
                <w:rFonts w:ascii="Arial" w:hAnsi="Arial" w:cs="Arial"/>
                <w:sz w:val="24"/>
              </w:rPr>
              <w:t xml:space="preserve"> acid to be scheduled under part 2, schedule 4 under </w:t>
            </w:r>
            <w:proofErr w:type="spellStart"/>
            <w:r w:rsidR="00240CC5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240CC5" w:rsidRPr="00CC5FE4">
              <w:rPr>
                <w:rFonts w:ascii="Arial" w:hAnsi="Arial" w:cs="Arial"/>
                <w:sz w:val="24"/>
              </w:rPr>
              <w:t>.</w:t>
            </w:r>
          </w:p>
          <w:p w14:paraId="0E754981" w14:textId="77777777" w:rsidR="00550EC6" w:rsidRPr="00CC5FE4" w:rsidRDefault="00550EC6" w:rsidP="00C05BAA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  <w:p w14:paraId="449185C5" w14:textId="0ACEFCBE" w:rsidR="0096737F" w:rsidRPr="00CC5FE4" w:rsidRDefault="00AD2EBB" w:rsidP="00C05BAA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Motion:</w:t>
            </w:r>
            <w:r w:rsidR="00BB1EA0" w:rsidRPr="00CC5FE4">
              <w:rPr>
                <w:rFonts w:ascii="Arial" w:hAnsi="Arial" w:cs="Arial"/>
                <w:sz w:val="24"/>
              </w:rPr>
              <w:t xml:space="preserve"> </w:t>
            </w:r>
            <w:r w:rsidR="009505E0" w:rsidRPr="00CC5FE4">
              <w:rPr>
                <w:rFonts w:ascii="Arial" w:hAnsi="Arial" w:cs="Arial"/>
                <w:sz w:val="24"/>
              </w:rPr>
              <w:t xml:space="preserve">[redacted] </w:t>
            </w:r>
            <w:r w:rsidRPr="00CC5FE4">
              <w:rPr>
                <w:rFonts w:ascii="Arial" w:hAnsi="Arial" w:cs="Arial"/>
                <w:sz w:val="24"/>
              </w:rPr>
              <w:t>propose</w:t>
            </w:r>
            <w:r w:rsidR="00F60963" w:rsidRPr="00CC5FE4">
              <w:rPr>
                <w:rFonts w:ascii="Arial" w:hAnsi="Arial" w:cs="Arial"/>
                <w:sz w:val="24"/>
              </w:rPr>
              <w:t>d</w:t>
            </w:r>
            <w:r w:rsidRPr="00CC5FE4">
              <w:rPr>
                <w:rFonts w:ascii="Arial" w:hAnsi="Arial" w:cs="Arial"/>
                <w:sz w:val="24"/>
              </w:rPr>
              <w:t xml:space="preserve"> </w:t>
            </w:r>
            <w:r w:rsidR="00F60963" w:rsidRPr="00CC5FE4">
              <w:rPr>
                <w:rFonts w:ascii="Arial" w:hAnsi="Arial" w:cs="Arial"/>
                <w:sz w:val="24"/>
              </w:rPr>
              <w:t xml:space="preserve">that </w:t>
            </w:r>
            <w:proofErr w:type="spellStart"/>
            <w:r w:rsidR="00F60963" w:rsidRPr="00CC5FE4">
              <w:rPr>
                <w:rFonts w:ascii="Arial" w:hAnsi="Arial" w:cs="Arial"/>
                <w:sz w:val="24"/>
              </w:rPr>
              <w:t>hypophosphorous</w:t>
            </w:r>
            <w:proofErr w:type="spellEnd"/>
            <w:r w:rsidR="00F60963" w:rsidRPr="00CC5FE4">
              <w:rPr>
                <w:rFonts w:ascii="Arial" w:hAnsi="Arial" w:cs="Arial"/>
                <w:sz w:val="24"/>
              </w:rPr>
              <w:t xml:space="preserve"> acid, red phosphorous, </w:t>
            </w:r>
            <w:r w:rsidR="00E36833" w:rsidRPr="00CC5FE4">
              <w:rPr>
                <w:rFonts w:ascii="Arial" w:hAnsi="Arial" w:cs="Arial"/>
                <w:sz w:val="24"/>
              </w:rPr>
              <w:t xml:space="preserve">phosphorous acid, </w:t>
            </w:r>
            <w:r w:rsidR="00F60963" w:rsidRPr="00CC5FE4">
              <w:rPr>
                <w:rFonts w:ascii="Arial" w:hAnsi="Arial" w:cs="Arial"/>
                <w:sz w:val="24"/>
              </w:rPr>
              <w:t xml:space="preserve">iodine and </w:t>
            </w:r>
            <w:proofErr w:type="spellStart"/>
            <w:r w:rsidR="00F60963" w:rsidRPr="00CC5FE4">
              <w:rPr>
                <w:rFonts w:ascii="Arial" w:hAnsi="Arial" w:cs="Arial"/>
                <w:sz w:val="24"/>
              </w:rPr>
              <w:t>hydriodic</w:t>
            </w:r>
            <w:proofErr w:type="spellEnd"/>
            <w:r w:rsidR="00F60963" w:rsidRPr="00CC5FE4">
              <w:rPr>
                <w:rFonts w:ascii="Arial" w:hAnsi="Arial" w:cs="Arial"/>
                <w:sz w:val="24"/>
              </w:rPr>
              <w:t xml:space="preserve"> acid </w:t>
            </w:r>
            <w:r w:rsidRPr="00CC5FE4">
              <w:rPr>
                <w:rFonts w:ascii="Arial" w:hAnsi="Arial" w:cs="Arial"/>
                <w:sz w:val="24"/>
              </w:rPr>
              <w:t xml:space="preserve">be included as </w:t>
            </w:r>
            <w:r w:rsidR="00D46AA8" w:rsidRPr="00CC5FE4">
              <w:rPr>
                <w:rFonts w:ascii="Arial" w:hAnsi="Arial" w:cs="Arial"/>
                <w:sz w:val="24"/>
              </w:rPr>
              <w:t>precursor</w:t>
            </w:r>
            <w:r w:rsidRPr="00CC5FE4">
              <w:rPr>
                <w:rFonts w:ascii="Arial" w:hAnsi="Arial" w:cs="Arial"/>
                <w:sz w:val="24"/>
              </w:rPr>
              <w:t xml:space="preserve"> chemicals under part 2 </w:t>
            </w:r>
            <w:r w:rsidR="00DC7CB1" w:rsidRPr="00CC5FE4">
              <w:rPr>
                <w:rFonts w:ascii="Arial" w:hAnsi="Arial" w:cs="Arial"/>
                <w:sz w:val="24"/>
              </w:rPr>
              <w:t>of S</w:t>
            </w:r>
            <w:r w:rsidR="00BB1EA0" w:rsidRPr="00CC5FE4">
              <w:rPr>
                <w:rFonts w:ascii="Arial" w:hAnsi="Arial" w:cs="Arial"/>
                <w:sz w:val="24"/>
              </w:rPr>
              <w:t>chedule</w:t>
            </w:r>
            <w:r w:rsidR="00D25A19" w:rsidRPr="00CC5FE4">
              <w:rPr>
                <w:rFonts w:ascii="Arial" w:hAnsi="Arial" w:cs="Arial"/>
                <w:sz w:val="24"/>
              </w:rPr>
              <w:t xml:space="preserve"> 4</w:t>
            </w:r>
            <w:r w:rsidR="00DC7CB1" w:rsidRPr="00CC5FE4">
              <w:rPr>
                <w:rFonts w:ascii="Arial" w:hAnsi="Arial" w:cs="Arial"/>
                <w:sz w:val="24"/>
              </w:rPr>
              <w:t xml:space="preserve"> under</w:t>
            </w:r>
            <w:r w:rsidR="00D25A19" w:rsidRPr="00CC5FE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D25A19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D25A19" w:rsidRPr="00CC5FE4">
              <w:rPr>
                <w:rFonts w:ascii="Arial" w:hAnsi="Arial" w:cs="Arial"/>
                <w:sz w:val="24"/>
              </w:rPr>
              <w:t xml:space="preserve"> on the basis that</w:t>
            </w:r>
            <w:r w:rsidR="00F60963" w:rsidRPr="00CC5FE4">
              <w:rPr>
                <w:rFonts w:ascii="Arial" w:hAnsi="Arial" w:cs="Arial"/>
                <w:sz w:val="24"/>
              </w:rPr>
              <w:t xml:space="preserve"> all five</w:t>
            </w:r>
            <w:r w:rsidRPr="00CC5FE4">
              <w:rPr>
                <w:rFonts w:ascii="Arial" w:hAnsi="Arial" w:cs="Arial"/>
                <w:sz w:val="24"/>
              </w:rPr>
              <w:t xml:space="preserve"> </w:t>
            </w:r>
            <w:r w:rsidR="00DC7CB1" w:rsidRPr="00CC5FE4">
              <w:rPr>
                <w:rFonts w:ascii="Arial" w:hAnsi="Arial" w:cs="Arial"/>
                <w:sz w:val="24"/>
              </w:rPr>
              <w:t xml:space="preserve">substances </w:t>
            </w:r>
            <w:r w:rsidRPr="00CC5FE4">
              <w:rPr>
                <w:rFonts w:ascii="Arial" w:hAnsi="Arial" w:cs="Arial"/>
                <w:sz w:val="24"/>
              </w:rPr>
              <w:t>are used in</w:t>
            </w:r>
            <w:r w:rsidR="00D25A19" w:rsidRPr="00CC5FE4">
              <w:rPr>
                <w:rFonts w:ascii="Arial" w:hAnsi="Arial" w:cs="Arial"/>
                <w:sz w:val="24"/>
              </w:rPr>
              <w:t xml:space="preserve"> the</w:t>
            </w:r>
            <w:r w:rsidRPr="00CC5FE4">
              <w:rPr>
                <w:rFonts w:ascii="Arial" w:hAnsi="Arial" w:cs="Arial"/>
                <w:sz w:val="24"/>
              </w:rPr>
              <w:t xml:space="preserve"> manufacture of meth</w:t>
            </w:r>
            <w:r w:rsidR="00E615B6" w:rsidRPr="00CC5FE4">
              <w:rPr>
                <w:rFonts w:ascii="Arial" w:hAnsi="Arial" w:cs="Arial"/>
                <w:sz w:val="24"/>
              </w:rPr>
              <w:t>amphetamine in NZ as well as p</w:t>
            </w:r>
            <w:r w:rsidRPr="00CC5FE4">
              <w:rPr>
                <w:rFonts w:ascii="Arial" w:hAnsi="Arial" w:cs="Arial"/>
                <w:sz w:val="24"/>
              </w:rPr>
              <w:t xml:space="preserve">otentially </w:t>
            </w:r>
            <w:r w:rsidR="00E615B6" w:rsidRPr="00CC5FE4">
              <w:rPr>
                <w:rFonts w:ascii="Arial" w:hAnsi="Arial" w:cs="Arial"/>
                <w:sz w:val="24"/>
              </w:rPr>
              <w:t xml:space="preserve">being </w:t>
            </w:r>
            <w:r w:rsidRPr="00CC5FE4">
              <w:rPr>
                <w:rFonts w:ascii="Arial" w:hAnsi="Arial" w:cs="Arial"/>
                <w:sz w:val="24"/>
              </w:rPr>
              <w:t>then on</w:t>
            </w:r>
            <w:r w:rsidR="00E615B6" w:rsidRPr="00CC5FE4">
              <w:rPr>
                <w:rFonts w:ascii="Arial" w:hAnsi="Arial" w:cs="Arial"/>
                <w:sz w:val="24"/>
              </w:rPr>
              <w:t>-</w:t>
            </w:r>
            <w:r w:rsidRPr="00CC5FE4">
              <w:rPr>
                <w:rFonts w:ascii="Arial" w:hAnsi="Arial" w:cs="Arial"/>
                <w:sz w:val="24"/>
              </w:rPr>
              <w:t>so</w:t>
            </w:r>
            <w:r w:rsidR="00240CC5" w:rsidRPr="00CC5FE4">
              <w:rPr>
                <w:rFonts w:ascii="Arial" w:hAnsi="Arial" w:cs="Arial"/>
                <w:sz w:val="24"/>
              </w:rPr>
              <w:t>ld internationally. The motion was seconded by</w:t>
            </w:r>
            <w:r w:rsidRPr="00CC5FE4">
              <w:rPr>
                <w:rFonts w:ascii="Arial" w:hAnsi="Arial" w:cs="Arial"/>
                <w:sz w:val="24"/>
              </w:rPr>
              <w:t xml:space="preserve"> </w:t>
            </w:r>
            <w:r w:rsidR="009505E0" w:rsidRPr="00CC5FE4">
              <w:rPr>
                <w:rFonts w:ascii="Arial" w:hAnsi="Arial" w:cs="Arial"/>
                <w:sz w:val="24"/>
              </w:rPr>
              <w:t>[redacted]</w:t>
            </w:r>
            <w:r w:rsidRPr="00CC5FE4">
              <w:rPr>
                <w:rFonts w:ascii="Arial" w:hAnsi="Arial" w:cs="Arial"/>
                <w:sz w:val="24"/>
              </w:rPr>
              <w:t xml:space="preserve">. </w:t>
            </w:r>
            <w:r w:rsidR="00F60963" w:rsidRPr="00CC5FE4">
              <w:rPr>
                <w:rFonts w:ascii="Arial" w:hAnsi="Arial" w:cs="Arial"/>
                <w:sz w:val="24"/>
              </w:rPr>
              <w:t>The Committee were unanimously i</w:t>
            </w:r>
            <w:r w:rsidRPr="00CC5FE4">
              <w:rPr>
                <w:rFonts w:ascii="Arial" w:hAnsi="Arial" w:cs="Arial"/>
                <w:sz w:val="24"/>
              </w:rPr>
              <w:t>n favour.</w:t>
            </w:r>
          </w:p>
          <w:p w14:paraId="1DC5C157" w14:textId="77777777" w:rsidR="00F60963" w:rsidRPr="00CC5FE4" w:rsidRDefault="00F60963" w:rsidP="00C05BAA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  <w:p w14:paraId="4696FA3A" w14:textId="77777777" w:rsidR="00F60963" w:rsidRPr="00CC5FE4" w:rsidRDefault="00F60963" w:rsidP="00C05BAA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 xml:space="preserve">Action: </w:t>
            </w:r>
            <w:r w:rsidRPr="00CC5FE4">
              <w:rPr>
                <w:rFonts w:ascii="Arial" w:hAnsi="Arial" w:cs="Arial"/>
                <w:sz w:val="24"/>
              </w:rPr>
              <w:t xml:space="preserve">Secretariat to begin the process of scheduling </w:t>
            </w:r>
            <w:proofErr w:type="spellStart"/>
            <w:r w:rsidR="00276B0F" w:rsidRPr="00CC5FE4">
              <w:rPr>
                <w:rFonts w:ascii="Arial" w:hAnsi="Arial" w:cs="Arial"/>
                <w:sz w:val="24"/>
              </w:rPr>
              <w:t>hypophosphorous</w:t>
            </w:r>
            <w:proofErr w:type="spellEnd"/>
            <w:r w:rsidR="00276B0F" w:rsidRPr="00CC5FE4">
              <w:rPr>
                <w:rFonts w:ascii="Arial" w:hAnsi="Arial" w:cs="Arial"/>
                <w:sz w:val="24"/>
              </w:rPr>
              <w:t xml:space="preserve"> acid, red phosphorous, </w:t>
            </w:r>
            <w:r w:rsidR="00E36833" w:rsidRPr="00CC5FE4">
              <w:rPr>
                <w:rFonts w:ascii="Arial" w:hAnsi="Arial" w:cs="Arial"/>
                <w:sz w:val="24"/>
              </w:rPr>
              <w:t xml:space="preserve">phosphorous acid, </w:t>
            </w:r>
            <w:r w:rsidR="00276B0F" w:rsidRPr="00CC5FE4">
              <w:rPr>
                <w:rFonts w:ascii="Arial" w:hAnsi="Arial" w:cs="Arial"/>
                <w:sz w:val="24"/>
              </w:rPr>
              <w:t xml:space="preserve">iodine and </w:t>
            </w:r>
            <w:proofErr w:type="spellStart"/>
            <w:r w:rsidR="00276B0F" w:rsidRPr="00CC5FE4">
              <w:rPr>
                <w:rFonts w:ascii="Arial" w:hAnsi="Arial" w:cs="Arial"/>
                <w:sz w:val="24"/>
              </w:rPr>
              <w:t>hydriodic</w:t>
            </w:r>
            <w:proofErr w:type="spellEnd"/>
            <w:r w:rsidR="00276B0F" w:rsidRPr="00CC5FE4">
              <w:rPr>
                <w:rFonts w:ascii="Arial" w:hAnsi="Arial" w:cs="Arial"/>
                <w:sz w:val="24"/>
              </w:rPr>
              <w:t xml:space="preserve"> acid </w:t>
            </w:r>
            <w:r w:rsidRPr="00CC5FE4">
              <w:rPr>
                <w:rFonts w:ascii="Arial" w:hAnsi="Arial" w:cs="Arial"/>
                <w:sz w:val="24"/>
              </w:rPr>
              <w:t xml:space="preserve">chemicals under part 2 schedule 4 in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>.</w:t>
            </w:r>
          </w:p>
          <w:p w14:paraId="290A51D2" w14:textId="77777777" w:rsidR="0096737F" w:rsidRPr="00CC5FE4" w:rsidRDefault="0096737F" w:rsidP="00550EC6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</w:tc>
      </w:tr>
      <w:tr w:rsidR="005247A1" w:rsidRPr="00CC5FE4" w14:paraId="1B98487C" w14:textId="77777777" w:rsidTr="00AB5BE7">
        <w:tc>
          <w:tcPr>
            <w:tcW w:w="720" w:type="dxa"/>
          </w:tcPr>
          <w:p w14:paraId="53B14CFF" w14:textId="77777777" w:rsidR="005247A1" w:rsidRPr="00CC5FE4" w:rsidRDefault="007A5876" w:rsidP="007A5876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lastRenderedPageBreak/>
              <w:t>9</w:t>
            </w:r>
          </w:p>
        </w:tc>
        <w:tc>
          <w:tcPr>
            <w:tcW w:w="9180" w:type="dxa"/>
          </w:tcPr>
          <w:p w14:paraId="53E3B624" w14:textId="77777777" w:rsidR="005247A1" w:rsidRPr="00CC5FE4" w:rsidRDefault="00ED46CB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proofErr w:type="spellStart"/>
            <w:r w:rsidRPr="00CC5FE4">
              <w:rPr>
                <w:rFonts w:ascii="Arial" w:hAnsi="Arial" w:cs="Arial"/>
                <w:b/>
                <w:sz w:val="24"/>
              </w:rPr>
              <w:t>Methylone</w:t>
            </w:r>
            <w:proofErr w:type="spellEnd"/>
            <w:r w:rsidRPr="00CC5FE4">
              <w:rPr>
                <w:rFonts w:ascii="Arial" w:hAnsi="Arial" w:cs="Arial"/>
                <w:b/>
                <w:sz w:val="24"/>
              </w:rPr>
              <w:t xml:space="preserve"> and </w:t>
            </w:r>
            <w:proofErr w:type="spellStart"/>
            <w:r w:rsidRPr="00CC5FE4">
              <w:rPr>
                <w:rFonts w:ascii="Arial" w:hAnsi="Arial" w:cs="Arial"/>
                <w:b/>
                <w:sz w:val="24"/>
              </w:rPr>
              <w:t>Mephedrone</w:t>
            </w:r>
            <w:proofErr w:type="spellEnd"/>
          </w:p>
          <w:p w14:paraId="61CF654F" w14:textId="77777777" w:rsidR="00ED46CB" w:rsidRPr="00CC5FE4" w:rsidRDefault="00DD5546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proofErr w:type="spellStart"/>
            <w:r w:rsidRPr="00CC5FE4">
              <w:rPr>
                <w:rFonts w:ascii="Arial" w:hAnsi="Arial" w:cs="Arial"/>
                <w:sz w:val="24"/>
              </w:rPr>
              <w:t>Methylone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mephedrone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are both synthetic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cathinone’s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that have psychoactive effects that are currently scheduled as Class C7 drugs under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. It was noted that </w:t>
            </w:r>
            <w:r w:rsidR="000B17D6" w:rsidRPr="00CC5FE4">
              <w:rPr>
                <w:rFonts w:ascii="Arial" w:hAnsi="Arial" w:cs="Arial"/>
                <w:sz w:val="24"/>
              </w:rPr>
              <w:t xml:space="preserve">although </w:t>
            </w:r>
            <w:r w:rsidRPr="00CC5FE4">
              <w:rPr>
                <w:rFonts w:ascii="Arial" w:hAnsi="Arial" w:cs="Arial"/>
                <w:sz w:val="24"/>
              </w:rPr>
              <w:t xml:space="preserve">there is less </w:t>
            </w:r>
            <w:r w:rsidR="00473B69" w:rsidRPr="00CC5FE4">
              <w:rPr>
                <w:rFonts w:ascii="Arial" w:hAnsi="Arial" w:cs="Arial"/>
                <w:sz w:val="24"/>
              </w:rPr>
              <w:t>of a history</w:t>
            </w:r>
            <w:r w:rsidRPr="00CC5FE4">
              <w:rPr>
                <w:rFonts w:ascii="Arial" w:hAnsi="Arial" w:cs="Arial"/>
                <w:sz w:val="24"/>
              </w:rPr>
              <w:t xml:space="preserve"> of </w:t>
            </w:r>
            <w:r w:rsidR="00550EC6" w:rsidRPr="00CC5FE4">
              <w:rPr>
                <w:rFonts w:ascii="Arial" w:hAnsi="Arial" w:cs="Arial"/>
                <w:sz w:val="24"/>
              </w:rPr>
              <w:t xml:space="preserve">individual and community </w:t>
            </w:r>
            <w:r w:rsidRPr="00CC5FE4">
              <w:rPr>
                <w:rFonts w:ascii="Arial" w:hAnsi="Arial" w:cs="Arial"/>
                <w:sz w:val="24"/>
              </w:rPr>
              <w:t>harm compared with alpha-PVP as well as not having a growing market in NZ</w:t>
            </w:r>
            <w:r w:rsidR="000B17D6" w:rsidRPr="00CC5FE4">
              <w:rPr>
                <w:rFonts w:ascii="Arial" w:hAnsi="Arial" w:cs="Arial"/>
                <w:sz w:val="24"/>
              </w:rPr>
              <w:t xml:space="preserve">, the risk of harm was substantial enough to be put forward for re-classification to align with a Class B classification. </w:t>
            </w:r>
            <w:r w:rsidRPr="00CC5FE4">
              <w:rPr>
                <w:rFonts w:ascii="Arial" w:hAnsi="Arial" w:cs="Arial"/>
                <w:sz w:val="24"/>
              </w:rPr>
              <w:t>Both</w:t>
            </w:r>
            <w:r w:rsidR="00473B69" w:rsidRPr="00CC5FE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0B17D6" w:rsidRPr="00CC5FE4">
              <w:rPr>
                <w:rFonts w:ascii="Arial" w:hAnsi="Arial" w:cs="Arial"/>
                <w:sz w:val="24"/>
              </w:rPr>
              <w:t>methylone</w:t>
            </w:r>
            <w:proofErr w:type="spellEnd"/>
            <w:r w:rsidR="000B17D6" w:rsidRPr="00CC5FE4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="000B17D6" w:rsidRPr="00CC5FE4">
              <w:rPr>
                <w:rFonts w:ascii="Arial" w:hAnsi="Arial" w:cs="Arial"/>
                <w:sz w:val="24"/>
              </w:rPr>
              <w:t>mephedrone</w:t>
            </w:r>
            <w:proofErr w:type="spellEnd"/>
            <w:r w:rsidR="000B17D6" w:rsidRPr="00CC5FE4">
              <w:rPr>
                <w:rFonts w:ascii="Arial" w:hAnsi="Arial" w:cs="Arial"/>
                <w:sz w:val="24"/>
              </w:rPr>
              <w:t xml:space="preserve"> </w:t>
            </w:r>
            <w:r w:rsidR="00473B69" w:rsidRPr="00CC5FE4">
              <w:rPr>
                <w:rFonts w:ascii="Arial" w:hAnsi="Arial" w:cs="Arial"/>
                <w:sz w:val="24"/>
              </w:rPr>
              <w:t>fit with</w:t>
            </w:r>
            <w:r w:rsidRPr="00CC5FE4">
              <w:rPr>
                <w:rFonts w:ascii="Arial" w:hAnsi="Arial" w:cs="Arial"/>
                <w:sz w:val="24"/>
              </w:rPr>
              <w:t xml:space="preserve"> the principle of </w:t>
            </w:r>
            <w:r w:rsidR="00473B69" w:rsidRPr="00CC5FE4">
              <w:rPr>
                <w:rFonts w:ascii="Arial" w:hAnsi="Arial" w:cs="Arial"/>
                <w:sz w:val="24"/>
              </w:rPr>
              <w:t xml:space="preserve">aligning </w:t>
            </w:r>
            <w:r w:rsidR="000B17D6" w:rsidRPr="00CC5FE4">
              <w:rPr>
                <w:rFonts w:ascii="Arial" w:hAnsi="Arial" w:cs="Arial"/>
                <w:sz w:val="24"/>
              </w:rPr>
              <w:t xml:space="preserve">their </w:t>
            </w:r>
            <w:r w:rsidRPr="00CC5FE4">
              <w:rPr>
                <w:rFonts w:ascii="Arial" w:hAnsi="Arial" w:cs="Arial"/>
                <w:sz w:val="24"/>
              </w:rPr>
              <w:t xml:space="preserve">classification with </w:t>
            </w:r>
            <w:r w:rsidR="000B17D6" w:rsidRPr="00CC5FE4">
              <w:rPr>
                <w:rFonts w:ascii="Arial" w:hAnsi="Arial" w:cs="Arial"/>
                <w:sz w:val="24"/>
              </w:rPr>
              <w:t xml:space="preserve">already </w:t>
            </w:r>
            <w:r w:rsidRPr="00CC5FE4">
              <w:rPr>
                <w:rFonts w:ascii="Arial" w:hAnsi="Arial" w:cs="Arial"/>
                <w:sz w:val="24"/>
              </w:rPr>
              <w:t xml:space="preserve">scheduled </w:t>
            </w:r>
            <w:proofErr w:type="spellStart"/>
            <w:r w:rsidR="00D46AA8" w:rsidRPr="00CC5FE4">
              <w:rPr>
                <w:rFonts w:ascii="Arial" w:hAnsi="Arial" w:cs="Arial"/>
                <w:sz w:val="24"/>
              </w:rPr>
              <w:t>cathinone’s</w:t>
            </w:r>
            <w:proofErr w:type="spellEnd"/>
            <w:r w:rsidR="00D46AA8" w:rsidRPr="00CC5FE4">
              <w:rPr>
                <w:rFonts w:ascii="Arial" w:hAnsi="Arial" w:cs="Arial"/>
                <w:sz w:val="24"/>
              </w:rPr>
              <w:t xml:space="preserve"> as </w:t>
            </w:r>
            <w:r w:rsidR="00473B69" w:rsidRPr="00CC5FE4">
              <w:rPr>
                <w:rFonts w:ascii="Arial" w:hAnsi="Arial" w:cs="Arial"/>
                <w:sz w:val="24"/>
              </w:rPr>
              <w:t>Class B</w:t>
            </w:r>
            <w:r w:rsidR="00D46AA8" w:rsidRPr="00CC5FE4">
              <w:rPr>
                <w:rFonts w:ascii="Arial" w:hAnsi="Arial" w:cs="Arial"/>
                <w:sz w:val="24"/>
              </w:rPr>
              <w:t xml:space="preserve"> controlled drugs</w:t>
            </w:r>
            <w:r w:rsidR="00473B69" w:rsidRPr="00CC5FE4">
              <w:rPr>
                <w:rFonts w:ascii="Arial" w:hAnsi="Arial" w:cs="Arial"/>
                <w:sz w:val="24"/>
              </w:rPr>
              <w:t xml:space="preserve">. </w:t>
            </w:r>
            <w:r w:rsidR="00550EC6" w:rsidRPr="00CC5FE4">
              <w:rPr>
                <w:rFonts w:ascii="Arial" w:hAnsi="Arial" w:cs="Arial"/>
                <w:sz w:val="24"/>
              </w:rPr>
              <w:t>It was noted that the d</w:t>
            </w:r>
            <w:r w:rsidR="00473B69" w:rsidRPr="00CC5FE4">
              <w:rPr>
                <w:rFonts w:ascii="Arial" w:hAnsi="Arial" w:cs="Arial"/>
                <w:sz w:val="24"/>
              </w:rPr>
              <w:t xml:space="preserve">ifference between </w:t>
            </w:r>
            <w:r w:rsidR="00550EC6" w:rsidRPr="00CC5FE4">
              <w:rPr>
                <w:rFonts w:ascii="Arial" w:hAnsi="Arial" w:cs="Arial"/>
                <w:sz w:val="24"/>
              </w:rPr>
              <w:t xml:space="preserve">Class </w:t>
            </w:r>
            <w:r w:rsidR="00473B69" w:rsidRPr="00CC5FE4">
              <w:rPr>
                <w:rFonts w:ascii="Arial" w:hAnsi="Arial" w:cs="Arial"/>
                <w:sz w:val="24"/>
              </w:rPr>
              <w:t xml:space="preserve">B1 and B2 is </w:t>
            </w:r>
            <w:r w:rsidR="00E36833" w:rsidRPr="00CC5FE4">
              <w:rPr>
                <w:rFonts w:ascii="Arial" w:hAnsi="Arial" w:cs="Arial"/>
                <w:sz w:val="24"/>
              </w:rPr>
              <w:t xml:space="preserve">a </w:t>
            </w:r>
            <w:r w:rsidR="00473B69" w:rsidRPr="00CC5FE4">
              <w:rPr>
                <w:rFonts w:ascii="Arial" w:hAnsi="Arial" w:cs="Arial"/>
                <w:sz w:val="24"/>
              </w:rPr>
              <w:t xml:space="preserve">dependence factor. </w:t>
            </w:r>
            <w:r w:rsidR="00550EC6" w:rsidRPr="00CC5FE4">
              <w:rPr>
                <w:rFonts w:ascii="Arial" w:hAnsi="Arial" w:cs="Arial"/>
                <w:sz w:val="24"/>
              </w:rPr>
              <w:t>Class B1 drugs have a higher risk of dependence than class B2 drugs.</w:t>
            </w:r>
          </w:p>
          <w:p w14:paraId="6C6E668E" w14:textId="77777777" w:rsidR="00473B69" w:rsidRPr="00CC5FE4" w:rsidRDefault="00473B69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  <w:p w14:paraId="62615423" w14:textId="77777777" w:rsidR="00550EC6" w:rsidRPr="00CC5FE4" w:rsidRDefault="00550EC6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 xml:space="preserve">Outcome: </w:t>
            </w:r>
            <w:r w:rsidRPr="00CC5FE4">
              <w:rPr>
                <w:rFonts w:ascii="Arial" w:hAnsi="Arial" w:cs="Arial"/>
                <w:sz w:val="24"/>
              </w:rPr>
              <w:t xml:space="preserve">The Committee decided to put forward the recommendation to schedule both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methylone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mephedrone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as Class B2 controlled drugs under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instead of Class B1 due to the low index of dependency.</w:t>
            </w:r>
          </w:p>
          <w:p w14:paraId="4AE5BAF9" w14:textId="77777777" w:rsidR="00550EC6" w:rsidRPr="00CC5FE4" w:rsidRDefault="00550EC6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  <w:p w14:paraId="6A42D0C0" w14:textId="411413BF" w:rsidR="00473B69" w:rsidRPr="00CC5FE4" w:rsidRDefault="00473B69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 xml:space="preserve">Motion: </w:t>
            </w:r>
            <w:r w:rsidR="009505E0" w:rsidRPr="00CC5FE4">
              <w:rPr>
                <w:rFonts w:ascii="Arial" w:hAnsi="Arial" w:cs="Arial"/>
                <w:sz w:val="24"/>
              </w:rPr>
              <w:t xml:space="preserve">[redacted] </w:t>
            </w:r>
            <w:r w:rsidR="00D46AA8" w:rsidRPr="00CC5FE4">
              <w:rPr>
                <w:rFonts w:ascii="Arial" w:hAnsi="Arial" w:cs="Arial"/>
                <w:sz w:val="24"/>
              </w:rPr>
              <w:t>p</w:t>
            </w:r>
            <w:r w:rsidRPr="00CC5FE4">
              <w:rPr>
                <w:rFonts w:ascii="Arial" w:hAnsi="Arial" w:cs="Arial"/>
                <w:sz w:val="24"/>
              </w:rPr>
              <w:t>ropose</w:t>
            </w:r>
            <w:r w:rsidR="00D46AA8" w:rsidRPr="00CC5FE4">
              <w:rPr>
                <w:rFonts w:ascii="Arial" w:hAnsi="Arial" w:cs="Arial"/>
                <w:sz w:val="24"/>
              </w:rPr>
              <w:t>d</w:t>
            </w:r>
            <w:r w:rsidRPr="00CC5FE4">
              <w:rPr>
                <w:rFonts w:ascii="Arial" w:hAnsi="Arial" w:cs="Arial"/>
                <w:sz w:val="24"/>
              </w:rPr>
              <w:t xml:space="preserve"> that both</w:t>
            </w:r>
            <w:r w:rsidR="00D46AA8" w:rsidRPr="00CC5FE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D46AA8" w:rsidRPr="00CC5FE4">
              <w:rPr>
                <w:rFonts w:ascii="Arial" w:hAnsi="Arial" w:cs="Arial"/>
                <w:sz w:val="24"/>
              </w:rPr>
              <w:t>Methylone</w:t>
            </w:r>
            <w:proofErr w:type="spellEnd"/>
            <w:r w:rsidR="00D46AA8" w:rsidRPr="00CC5FE4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="00D46AA8" w:rsidRPr="00CC5FE4">
              <w:rPr>
                <w:rFonts w:ascii="Arial" w:hAnsi="Arial" w:cs="Arial"/>
                <w:sz w:val="24"/>
              </w:rPr>
              <w:t>Mephedrone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be</w:t>
            </w:r>
            <w:r w:rsidR="00D46AA8" w:rsidRPr="00CC5FE4">
              <w:rPr>
                <w:rFonts w:ascii="Arial" w:hAnsi="Arial" w:cs="Arial"/>
                <w:sz w:val="24"/>
              </w:rPr>
              <w:t xml:space="preserve"> put forward for scheduling as Class </w:t>
            </w:r>
            <w:r w:rsidRPr="00CC5FE4">
              <w:rPr>
                <w:rFonts w:ascii="Arial" w:hAnsi="Arial" w:cs="Arial"/>
                <w:sz w:val="24"/>
              </w:rPr>
              <w:t>B</w:t>
            </w:r>
            <w:r w:rsidR="00D373EB" w:rsidRPr="00CC5FE4">
              <w:rPr>
                <w:rFonts w:ascii="Arial" w:hAnsi="Arial" w:cs="Arial"/>
                <w:sz w:val="24"/>
              </w:rPr>
              <w:t>2</w:t>
            </w:r>
            <w:r w:rsidR="00D46AA8" w:rsidRPr="00CC5FE4">
              <w:rPr>
                <w:rFonts w:ascii="Arial" w:hAnsi="Arial" w:cs="Arial"/>
                <w:sz w:val="24"/>
              </w:rPr>
              <w:t xml:space="preserve"> controlled drugs under </w:t>
            </w:r>
            <w:proofErr w:type="spellStart"/>
            <w:r w:rsidR="00D46AA8"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="00550EC6" w:rsidRPr="00CC5FE4">
              <w:rPr>
                <w:rFonts w:ascii="Arial" w:hAnsi="Arial" w:cs="Arial"/>
                <w:sz w:val="24"/>
              </w:rPr>
              <w:t xml:space="preserve"> due to their high risk of harm and</w:t>
            </w:r>
            <w:r w:rsidR="00D46AA8" w:rsidRPr="00CC5FE4">
              <w:rPr>
                <w:rFonts w:ascii="Arial" w:hAnsi="Arial" w:cs="Arial"/>
                <w:sz w:val="24"/>
              </w:rPr>
              <w:t xml:space="preserve"> low index of dependency</w:t>
            </w:r>
            <w:r w:rsidRPr="00CC5FE4">
              <w:rPr>
                <w:rFonts w:ascii="Arial" w:hAnsi="Arial" w:cs="Arial"/>
                <w:sz w:val="24"/>
              </w:rPr>
              <w:t xml:space="preserve">. </w:t>
            </w:r>
            <w:r w:rsidR="00E36833" w:rsidRPr="00CC5FE4">
              <w:rPr>
                <w:rFonts w:ascii="Arial" w:hAnsi="Arial" w:cs="Arial"/>
                <w:sz w:val="24"/>
              </w:rPr>
              <w:t>This was s</w:t>
            </w:r>
            <w:r w:rsidR="00D46AA8" w:rsidRPr="00CC5FE4">
              <w:rPr>
                <w:rFonts w:ascii="Arial" w:hAnsi="Arial" w:cs="Arial"/>
                <w:sz w:val="24"/>
              </w:rPr>
              <w:t xml:space="preserve">econded by </w:t>
            </w:r>
            <w:r w:rsidR="009505E0" w:rsidRPr="00CC5FE4">
              <w:rPr>
                <w:rFonts w:ascii="Arial" w:hAnsi="Arial" w:cs="Arial"/>
                <w:sz w:val="24"/>
              </w:rPr>
              <w:t>[redacted]</w:t>
            </w:r>
            <w:r w:rsidR="00D46AA8" w:rsidRPr="00CC5FE4">
              <w:rPr>
                <w:rFonts w:ascii="Arial" w:hAnsi="Arial" w:cs="Arial"/>
                <w:sz w:val="24"/>
              </w:rPr>
              <w:t>. All Committee members were unanimously in favour.</w:t>
            </w:r>
          </w:p>
          <w:p w14:paraId="204F3DFA" w14:textId="77777777" w:rsidR="00550EC6" w:rsidRPr="00CC5FE4" w:rsidRDefault="00550EC6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  <w:p w14:paraId="1B096CB3" w14:textId="77777777" w:rsidR="00550EC6" w:rsidRPr="00CC5FE4" w:rsidRDefault="00550EC6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 xml:space="preserve">Action: </w:t>
            </w:r>
            <w:r w:rsidRPr="00CC5FE4">
              <w:rPr>
                <w:rFonts w:ascii="Arial" w:hAnsi="Arial" w:cs="Arial"/>
                <w:sz w:val="24"/>
              </w:rPr>
              <w:t xml:space="preserve">Secretariat to begin the process to schedule both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methylone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mephedrone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as Class B2 controlled drugs under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>.</w:t>
            </w:r>
          </w:p>
          <w:p w14:paraId="539BD070" w14:textId="77777777" w:rsidR="00ED46CB" w:rsidRPr="00CC5FE4" w:rsidRDefault="00ED46CB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</w:tc>
      </w:tr>
      <w:tr w:rsidR="005247A1" w:rsidRPr="00CC5FE4" w14:paraId="073C7BA7" w14:textId="77777777" w:rsidTr="00AB5BE7">
        <w:tc>
          <w:tcPr>
            <w:tcW w:w="720" w:type="dxa"/>
          </w:tcPr>
          <w:p w14:paraId="3C2170D3" w14:textId="77777777" w:rsidR="005247A1" w:rsidRPr="00CC5FE4" w:rsidRDefault="005247A1" w:rsidP="007A5876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1</w:t>
            </w:r>
            <w:r w:rsidR="007A5876" w:rsidRPr="00CC5FE4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9180" w:type="dxa"/>
          </w:tcPr>
          <w:p w14:paraId="69F215D5" w14:textId="77777777" w:rsidR="005247A1" w:rsidRPr="00CC5FE4" w:rsidRDefault="00ED46CB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b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Break for afternoon tea 2pm – 2.15pm</w:t>
            </w:r>
          </w:p>
        </w:tc>
      </w:tr>
      <w:tr w:rsidR="005247A1" w:rsidRPr="00CC5FE4" w14:paraId="6984516C" w14:textId="77777777" w:rsidTr="00AB5BE7">
        <w:tc>
          <w:tcPr>
            <w:tcW w:w="720" w:type="dxa"/>
          </w:tcPr>
          <w:p w14:paraId="36605F08" w14:textId="77777777" w:rsidR="005247A1" w:rsidRPr="00CC5FE4" w:rsidRDefault="007A5876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9180" w:type="dxa"/>
          </w:tcPr>
          <w:p w14:paraId="2A2A7393" w14:textId="77777777" w:rsidR="00026BF6" w:rsidRPr="00CC5FE4" w:rsidRDefault="00ED46CB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Submission process to the EACD</w:t>
            </w:r>
          </w:p>
          <w:p w14:paraId="39A094B0" w14:textId="1E3CAA22" w:rsidR="007A391F" w:rsidRPr="00CC5FE4" w:rsidRDefault="00E50DA6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In order to create more transparency between the Committee and the general public, the Secretariat had been working on a formalised process for providing submissions to the Committee</w:t>
            </w:r>
            <w:r w:rsidR="00E615B6" w:rsidRPr="00CC5FE4">
              <w:rPr>
                <w:rFonts w:ascii="Arial" w:hAnsi="Arial" w:cs="Arial"/>
                <w:sz w:val="24"/>
              </w:rPr>
              <w:t>. T</w:t>
            </w:r>
            <w:r w:rsidR="00AD2EBB" w:rsidRPr="00CC5FE4">
              <w:rPr>
                <w:rFonts w:ascii="Arial" w:hAnsi="Arial" w:cs="Arial"/>
                <w:sz w:val="24"/>
              </w:rPr>
              <w:t>he</w:t>
            </w:r>
            <w:r w:rsidR="009B47FE" w:rsidRPr="00CC5FE4">
              <w:rPr>
                <w:rFonts w:ascii="Arial" w:hAnsi="Arial" w:cs="Arial"/>
                <w:sz w:val="24"/>
              </w:rPr>
              <w:t xml:space="preserve"> Secretariat asked if the C</w:t>
            </w:r>
            <w:r w:rsidR="00AD2EBB" w:rsidRPr="00CC5FE4">
              <w:rPr>
                <w:rFonts w:ascii="Arial" w:hAnsi="Arial" w:cs="Arial"/>
                <w:sz w:val="24"/>
              </w:rPr>
              <w:t xml:space="preserve">ommittee would accept public submissions </w:t>
            </w:r>
            <w:r w:rsidR="005679CC" w:rsidRPr="00CC5FE4">
              <w:rPr>
                <w:rFonts w:ascii="Arial" w:hAnsi="Arial" w:cs="Arial"/>
                <w:sz w:val="24"/>
              </w:rPr>
              <w:t>and what level of detail would be required of public submissions.</w:t>
            </w:r>
            <w:r w:rsidR="00AD2EBB" w:rsidRPr="00CC5FE4">
              <w:rPr>
                <w:rFonts w:ascii="Arial" w:hAnsi="Arial" w:cs="Arial"/>
                <w:sz w:val="24"/>
              </w:rPr>
              <w:t xml:space="preserve"> It </w:t>
            </w:r>
            <w:r w:rsidR="005679CC" w:rsidRPr="00CC5FE4">
              <w:rPr>
                <w:rFonts w:ascii="Arial" w:hAnsi="Arial" w:cs="Arial"/>
                <w:sz w:val="24"/>
              </w:rPr>
              <w:t>was recognised that public submissions would span a wide range of expertise and the contents of these submissions would vary from application to application.</w:t>
            </w:r>
            <w:r w:rsidR="00AD2EBB" w:rsidRPr="00CC5FE4">
              <w:rPr>
                <w:rFonts w:ascii="Arial" w:hAnsi="Arial" w:cs="Arial"/>
                <w:sz w:val="24"/>
              </w:rPr>
              <w:t xml:space="preserve"> </w:t>
            </w:r>
            <w:r w:rsidR="009B47FE" w:rsidRPr="00CC5FE4">
              <w:rPr>
                <w:rFonts w:ascii="Arial" w:hAnsi="Arial" w:cs="Arial"/>
                <w:sz w:val="24"/>
              </w:rPr>
              <w:t>The Secretariat</w:t>
            </w:r>
            <w:r w:rsidR="00AD2EBB" w:rsidRPr="00CC5FE4">
              <w:rPr>
                <w:rFonts w:ascii="Arial" w:hAnsi="Arial" w:cs="Arial"/>
                <w:sz w:val="24"/>
              </w:rPr>
              <w:t xml:space="preserve"> want</w:t>
            </w:r>
            <w:r w:rsidR="009B47FE" w:rsidRPr="00CC5FE4">
              <w:rPr>
                <w:rFonts w:ascii="Arial" w:hAnsi="Arial" w:cs="Arial"/>
                <w:sz w:val="24"/>
              </w:rPr>
              <w:t>s</w:t>
            </w:r>
            <w:r w:rsidR="00AD2EBB" w:rsidRPr="00CC5FE4">
              <w:rPr>
                <w:rFonts w:ascii="Arial" w:hAnsi="Arial" w:cs="Arial"/>
                <w:sz w:val="24"/>
              </w:rPr>
              <w:t xml:space="preserve"> to set out </w:t>
            </w:r>
            <w:r w:rsidR="009B47FE" w:rsidRPr="00CC5FE4">
              <w:rPr>
                <w:rFonts w:ascii="Arial" w:hAnsi="Arial" w:cs="Arial"/>
                <w:sz w:val="24"/>
              </w:rPr>
              <w:t xml:space="preserve">a </w:t>
            </w:r>
            <w:r w:rsidR="00AD2EBB" w:rsidRPr="00CC5FE4">
              <w:rPr>
                <w:rFonts w:ascii="Arial" w:hAnsi="Arial" w:cs="Arial"/>
                <w:sz w:val="24"/>
              </w:rPr>
              <w:t xml:space="preserve">template that will be acceptable for the public. </w:t>
            </w:r>
            <w:r w:rsidR="009B47FE" w:rsidRPr="00CC5FE4">
              <w:rPr>
                <w:rFonts w:ascii="Arial" w:hAnsi="Arial" w:cs="Arial"/>
                <w:sz w:val="24"/>
              </w:rPr>
              <w:t>The</w:t>
            </w:r>
            <w:r w:rsidR="007A24CA" w:rsidRPr="00CC5FE4">
              <w:rPr>
                <w:rFonts w:ascii="Arial" w:hAnsi="Arial" w:cs="Arial"/>
                <w:sz w:val="24"/>
              </w:rPr>
              <w:t xml:space="preserve"> </w:t>
            </w:r>
            <w:r w:rsidR="005679CC" w:rsidRPr="00CC5FE4">
              <w:rPr>
                <w:rFonts w:ascii="Arial" w:hAnsi="Arial" w:cs="Arial"/>
                <w:sz w:val="24"/>
              </w:rPr>
              <w:t xml:space="preserve">proposed </w:t>
            </w:r>
            <w:r w:rsidR="009B47FE" w:rsidRPr="00CC5FE4">
              <w:rPr>
                <w:rFonts w:ascii="Arial" w:hAnsi="Arial" w:cs="Arial"/>
                <w:sz w:val="24"/>
              </w:rPr>
              <w:t>process would also involve a c</w:t>
            </w:r>
            <w:r w:rsidR="00AD2EBB" w:rsidRPr="00CC5FE4">
              <w:rPr>
                <w:rFonts w:ascii="Arial" w:hAnsi="Arial" w:cs="Arial"/>
                <w:sz w:val="24"/>
              </w:rPr>
              <w:t>onsultatio</w:t>
            </w:r>
            <w:r w:rsidR="009B47FE" w:rsidRPr="00CC5FE4">
              <w:rPr>
                <w:rFonts w:ascii="Arial" w:hAnsi="Arial" w:cs="Arial"/>
                <w:sz w:val="24"/>
              </w:rPr>
              <w:t>n period and would require</w:t>
            </w:r>
            <w:r w:rsidR="00AD2EBB" w:rsidRPr="00CC5FE4">
              <w:rPr>
                <w:rFonts w:ascii="Arial" w:hAnsi="Arial" w:cs="Arial"/>
                <w:sz w:val="24"/>
              </w:rPr>
              <w:t xml:space="preserve"> </w:t>
            </w:r>
            <w:r w:rsidR="009B47FE" w:rsidRPr="00CC5FE4">
              <w:rPr>
                <w:rFonts w:ascii="Arial" w:hAnsi="Arial" w:cs="Arial"/>
                <w:sz w:val="24"/>
              </w:rPr>
              <w:t xml:space="preserve">that the </w:t>
            </w:r>
            <w:r w:rsidR="00AD2EBB" w:rsidRPr="00CC5FE4">
              <w:rPr>
                <w:rFonts w:ascii="Arial" w:hAnsi="Arial" w:cs="Arial"/>
                <w:sz w:val="24"/>
              </w:rPr>
              <w:t xml:space="preserve">agenda </w:t>
            </w:r>
            <w:r w:rsidR="009B47FE" w:rsidRPr="00CC5FE4">
              <w:rPr>
                <w:rFonts w:ascii="Arial" w:hAnsi="Arial" w:cs="Arial"/>
                <w:sz w:val="24"/>
              </w:rPr>
              <w:t xml:space="preserve">is </w:t>
            </w:r>
            <w:r w:rsidR="00AD2EBB" w:rsidRPr="00CC5FE4">
              <w:rPr>
                <w:rFonts w:ascii="Arial" w:hAnsi="Arial" w:cs="Arial"/>
                <w:sz w:val="24"/>
              </w:rPr>
              <w:t xml:space="preserve">made public in advance. </w:t>
            </w:r>
          </w:p>
          <w:p w14:paraId="6074E5F3" w14:textId="77777777" w:rsidR="009B47FE" w:rsidRPr="00CC5FE4" w:rsidRDefault="009B47FE" w:rsidP="00026BF6">
            <w:pPr>
              <w:rPr>
                <w:rFonts w:ascii="Arial" w:hAnsi="Arial" w:cs="Arial"/>
                <w:sz w:val="24"/>
              </w:rPr>
            </w:pPr>
          </w:p>
          <w:p w14:paraId="7FA67616" w14:textId="77777777" w:rsidR="007A391F" w:rsidRPr="00CC5FE4" w:rsidRDefault="007A391F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The risks around </w:t>
            </w:r>
            <w:r w:rsidR="009B47FE" w:rsidRPr="00CC5FE4">
              <w:rPr>
                <w:rFonts w:ascii="Arial" w:hAnsi="Arial" w:cs="Arial"/>
                <w:sz w:val="24"/>
              </w:rPr>
              <w:t>accepting public submissions was discussed. Based on feedback received, it appears that the public seem to have a misconception as to what the function/purpose of the EACD actually is</w:t>
            </w:r>
            <w:r w:rsidRPr="00CC5FE4">
              <w:rPr>
                <w:rFonts w:ascii="Arial" w:hAnsi="Arial" w:cs="Arial"/>
                <w:sz w:val="24"/>
              </w:rPr>
              <w:t>.</w:t>
            </w:r>
            <w:r w:rsidR="00294147" w:rsidRPr="00CC5FE4">
              <w:rPr>
                <w:rFonts w:ascii="Arial" w:hAnsi="Arial" w:cs="Arial"/>
                <w:sz w:val="24"/>
              </w:rPr>
              <w:t xml:space="preserve"> The Committee suggested that the Secretariat make a</w:t>
            </w:r>
            <w:r w:rsidRPr="00CC5FE4">
              <w:rPr>
                <w:rFonts w:ascii="Arial" w:hAnsi="Arial" w:cs="Arial"/>
                <w:sz w:val="24"/>
              </w:rPr>
              <w:t xml:space="preserve"> public statement to clarify what the </w:t>
            </w:r>
            <w:r w:rsidR="00294147" w:rsidRPr="00CC5FE4">
              <w:rPr>
                <w:rFonts w:ascii="Arial" w:hAnsi="Arial" w:cs="Arial"/>
                <w:sz w:val="24"/>
              </w:rPr>
              <w:t>purpose/function of the C</w:t>
            </w:r>
            <w:r w:rsidRPr="00CC5FE4">
              <w:rPr>
                <w:rFonts w:ascii="Arial" w:hAnsi="Arial" w:cs="Arial"/>
                <w:sz w:val="24"/>
              </w:rPr>
              <w:t>ommittee actually is.</w:t>
            </w:r>
          </w:p>
          <w:p w14:paraId="300D2FE4" w14:textId="77777777" w:rsidR="00064733" w:rsidRPr="00CC5FE4" w:rsidRDefault="00064733" w:rsidP="00026BF6">
            <w:pPr>
              <w:rPr>
                <w:rFonts w:ascii="Arial" w:hAnsi="Arial" w:cs="Arial"/>
                <w:sz w:val="24"/>
              </w:rPr>
            </w:pPr>
          </w:p>
          <w:p w14:paraId="04F30816" w14:textId="77777777" w:rsidR="00064733" w:rsidRPr="00CC5FE4" w:rsidRDefault="00064733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 xml:space="preserve">Outcome: </w:t>
            </w:r>
            <w:r w:rsidR="00394D1C" w:rsidRPr="00CC5FE4">
              <w:rPr>
                <w:rFonts w:ascii="Arial" w:hAnsi="Arial" w:cs="Arial"/>
                <w:sz w:val="24"/>
              </w:rPr>
              <w:t>The Committee were not in favour of public submissions due to</w:t>
            </w:r>
            <w:r w:rsidR="00E36833" w:rsidRPr="00CC5FE4">
              <w:rPr>
                <w:rFonts w:ascii="Arial" w:hAnsi="Arial" w:cs="Arial"/>
                <w:sz w:val="24"/>
              </w:rPr>
              <w:t xml:space="preserve"> potential</w:t>
            </w:r>
            <w:r w:rsidR="005679CC" w:rsidRPr="00CC5FE4">
              <w:rPr>
                <w:rFonts w:ascii="Arial" w:hAnsi="Arial" w:cs="Arial"/>
                <w:sz w:val="24"/>
              </w:rPr>
              <w:t xml:space="preserve"> privacy</w:t>
            </w:r>
            <w:r w:rsidR="00E36833" w:rsidRPr="00CC5FE4">
              <w:rPr>
                <w:rFonts w:ascii="Arial" w:hAnsi="Arial" w:cs="Arial"/>
                <w:sz w:val="24"/>
              </w:rPr>
              <w:t xml:space="preserve"> issues it would bring as well as the additional workload for the Secretariat,</w:t>
            </w:r>
            <w:r w:rsidR="00394D1C" w:rsidRPr="00CC5FE4">
              <w:rPr>
                <w:rFonts w:ascii="Arial" w:hAnsi="Arial" w:cs="Arial"/>
                <w:sz w:val="24"/>
              </w:rPr>
              <w:t xml:space="preserve"> </w:t>
            </w:r>
            <w:r w:rsidR="00394D1C" w:rsidRPr="00CC5FE4">
              <w:rPr>
                <w:rFonts w:ascii="Arial" w:hAnsi="Arial" w:cs="Arial"/>
                <w:sz w:val="24"/>
              </w:rPr>
              <w:lastRenderedPageBreak/>
              <w:t xml:space="preserve">but acknowledged the fact that more transparency was needed for the public. </w:t>
            </w:r>
            <w:r w:rsidR="009B47FE" w:rsidRPr="00CC5FE4">
              <w:rPr>
                <w:rFonts w:ascii="Arial" w:hAnsi="Arial" w:cs="Arial"/>
                <w:sz w:val="24"/>
              </w:rPr>
              <w:t xml:space="preserve">The function </w:t>
            </w:r>
            <w:r w:rsidR="00E36833" w:rsidRPr="00CC5FE4">
              <w:rPr>
                <w:rFonts w:ascii="Arial" w:hAnsi="Arial" w:cs="Arial"/>
                <w:sz w:val="24"/>
              </w:rPr>
              <w:t xml:space="preserve">and purpose </w:t>
            </w:r>
            <w:r w:rsidR="009B47FE" w:rsidRPr="00CC5FE4">
              <w:rPr>
                <w:rFonts w:ascii="Arial" w:hAnsi="Arial" w:cs="Arial"/>
                <w:sz w:val="24"/>
              </w:rPr>
              <w:t>of the C</w:t>
            </w:r>
            <w:r w:rsidRPr="00CC5FE4">
              <w:rPr>
                <w:rFonts w:ascii="Arial" w:hAnsi="Arial" w:cs="Arial"/>
                <w:sz w:val="24"/>
              </w:rPr>
              <w:t xml:space="preserve">ommittee needs to be clarified to the public via </w:t>
            </w:r>
            <w:r w:rsidR="007A24CA" w:rsidRPr="00CC5FE4">
              <w:rPr>
                <w:rFonts w:ascii="Arial" w:hAnsi="Arial" w:cs="Arial"/>
                <w:sz w:val="24"/>
              </w:rPr>
              <w:t xml:space="preserve">a </w:t>
            </w:r>
            <w:r w:rsidRPr="00CC5FE4">
              <w:rPr>
                <w:rFonts w:ascii="Arial" w:hAnsi="Arial" w:cs="Arial"/>
                <w:sz w:val="24"/>
              </w:rPr>
              <w:t xml:space="preserve">statement on the website. </w:t>
            </w:r>
            <w:r w:rsidR="00294147" w:rsidRPr="00CC5FE4">
              <w:rPr>
                <w:rFonts w:ascii="Arial" w:hAnsi="Arial" w:cs="Arial"/>
                <w:sz w:val="24"/>
              </w:rPr>
              <w:t>It was s</w:t>
            </w:r>
            <w:r w:rsidRPr="00CC5FE4">
              <w:rPr>
                <w:rFonts w:ascii="Arial" w:hAnsi="Arial" w:cs="Arial"/>
                <w:sz w:val="24"/>
              </w:rPr>
              <w:t>uggested that the papers</w:t>
            </w:r>
            <w:r w:rsidR="00294147" w:rsidRPr="00CC5FE4">
              <w:rPr>
                <w:rFonts w:ascii="Arial" w:hAnsi="Arial" w:cs="Arial"/>
                <w:sz w:val="24"/>
              </w:rPr>
              <w:t>,</w:t>
            </w:r>
            <w:r w:rsidRPr="00CC5FE4">
              <w:rPr>
                <w:rFonts w:ascii="Arial" w:hAnsi="Arial" w:cs="Arial"/>
                <w:sz w:val="24"/>
              </w:rPr>
              <w:t xml:space="preserve"> agenda and minutes be published on the website formatted in an appropriate</w:t>
            </w:r>
            <w:r w:rsidR="00394D1C" w:rsidRPr="00CC5FE4">
              <w:rPr>
                <w:rFonts w:ascii="Arial" w:hAnsi="Arial" w:cs="Arial"/>
                <w:sz w:val="24"/>
              </w:rPr>
              <w:t xml:space="preserve"> way </w:t>
            </w:r>
            <w:r w:rsidR="00294147" w:rsidRPr="00CC5FE4">
              <w:rPr>
                <w:rFonts w:ascii="Arial" w:hAnsi="Arial" w:cs="Arial"/>
                <w:sz w:val="24"/>
              </w:rPr>
              <w:t>to increase tran</w:t>
            </w:r>
            <w:r w:rsidRPr="00CC5FE4">
              <w:rPr>
                <w:rFonts w:ascii="Arial" w:hAnsi="Arial" w:cs="Arial"/>
                <w:sz w:val="24"/>
              </w:rPr>
              <w:t>sparency to the public.</w:t>
            </w:r>
          </w:p>
          <w:p w14:paraId="7A89E7B1" w14:textId="77777777" w:rsidR="00064733" w:rsidRPr="00CC5FE4" w:rsidRDefault="00064733" w:rsidP="00026BF6">
            <w:pPr>
              <w:rPr>
                <w:rFonts w:ascii="Arial" w:hAnsi="Arial" w:cs="Arial"/>
                <w:sz w:val="24"/>
              </w:rPr>
            </w:pPr>
          </w:p>
          <w:p w14:paraId="178A57E1" w14:textId="77777777" w:rsidR="00064733" w:rsidRPr="00CC5FE4" w:rsidRDefault="00064733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 xml:space="preserve">Action: </w:t>
            </w:r>
            <w:r w:rsidR="00E615B6" w:rsidRPr="00CC5FE4">
              <w:rPr>
                <w:rFonts w:ascii="Arial" w:hAnsi="Arial" w:cs="Arial"/>
                <w:sz w:val="24"/>
              </w:rPr>
              <w:t>S</w:t>
            </w:r>
            <w:r w:rsidRPr="00CC5FE4">
              <w:rPr>
                <w:rFonts w:ascii="Arial" w:hAnsi="Arial" w:cs="Arial"/>
                <w:sz w:val="24"/>
              </w:rPr>
              <w:t xml:space="preserve">ecretariat prepare </w:t>
            </w:r>
            <w:r w:rsidR="00394D1C" w:rsidRPr="00CC5FE4">
              <w:rPr>
                <w:rFonts w:ascii="Arial" w:hAnsi="Arial" w:cs="Arial"/>
                <w:sz w:val="24"/>
              </w:rPr>
              <w:t xml:space="preserve">a </w:t>
            </w:r>
            <w:r w:rsidRPr="00CC5FE4">
              <w:rPr>
                <w:rFonts w:ascii="Arial" w:hAnsi="Arial" w:cs="Arial"/>
                <w:sz w:val="24"/>
              </w:rPr>
              <w:t xml:space="preserve">statement </w:t>
            </w:r>
            <w:r w:rsidR="00394D1C" w:rsidRPr="00CC5FE4">
              <w:rPr>
                <w:rFonts w:ascii="Arial" w:hAnsi="Arial" w:cs="Arial"/>
                <w:sz w:val="24"/>
              </w:rPr>
              <w:t xml:space="preserve">from the Minister/Ministry of Health </w:t>
            </w:r>
            <w:r w:rsidRPr="00CC5FE4">
              <w:rPr>
                <w:rFonts w:ascii="Arial" w:hAnsi="Arial" w:cs="Arial"/>
                <w:sz w:val="24"/>
              </w:rPr>
              <w:t xml:space="preserve">to add to the website </w:t>
            </w:r>
            <w:r w:rsidR="00E615B6" w:rsidRPr="00CC5FE4">
              <w:rPr>
                <w:rFonts w:ascii="Arial" w:hAnsi="Arial" w:cs="Arial"/>
                <w:sz w:val="24"/>
              </w:rPr>
              <w:t>clarifying</w:t>
            </w:r>
            <w:r w:rsidR="00294147" w:rsidRPr="00CC5FE4">
              <w:rPr>
                <w:rFonts w:ascii="Arial" w:hAnsi="Arial" w:cs="Arial"/>
                <w:sz w:val="24"/>
              </w:rPr>
              <w:t xml:space="preserve"> the function and purpose</w:t>
            </w:r>
            <w:r w:rsidR="00E615B6" w:rsidRPr="00CC5FE4">
              <w:rPr>
                <w:rFonts w:ascii="Arial" w:hAnsi="Arial" w:cs="Arial"/>
                <w:sz w:val="24"/>
              </w:rPr>
              <w:t xml:space="preserve"> of the C</w:t>
            </w:r>
            <w:r w:rsidR="0070523E" w:rsidRPr="00CC5FE4">
              <w:rPr>
                <w:rFonts w:ascii="Arial" w:hAnsi="Arial" w:cs="Arial"/>
                <w:sz w:val="24"/>
              </w:rPr>
              <w:t>ommittee to the public and to set up a space for publishing the agenda and minutes.</w:t>
            </w:r>
          </w:p>
          <w:p w14:paraId="315A1FD7" w14:textId="77777777" w:rsidR="00ED46CB" w:rsidRPr="00CC5FE4" w:rsidRDefault="00ED46CB" w:rsidP="00026BF6">
            <w:pPr>
              <w:rPr>
                <w:rFonts w:ascii="Arial" w:hAnsi="Arial" w:cs="Arial"/>
                <w:sz w:val="24"/>
              </w:rPr>
            </w:pPr>
          </w:p>
        </w:tc>
      </w:tr>
      <w:tr w:rsidR="005247A1" w:rsidRPr="00CC5FE4" w14:paraId="4B2113DF" w14:textId="77777777" w:rsidTr="00AB5BE7">
        <w:tc>
          <w:tcPr>
            <w:tcW w:w="720" w:type="dxa"/>
          </w:tcPr>
          <w:p w14:paraId="14347FAB" w14:textId="77777777" w:rsidR="005247A1" w:rsidRPr="00CC5FE4" w:rsidRDefault="007A5876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lastRenderedPageBreak/>
              <w:t>12</w:t>
            </w:r>
          </w:p>
        </w:tc>
        <w:tc>
          <w:tcPr>
            <w:tcW w:w="9180" w:type="dxa"/>
          </w:tcPr>
          <w:p w14:paraId="3D127805" w14:textId="77777777" w:rsidR="005247A1" w:rsidRPr="00CC5FE4" w:rsidRDefault="00ED46CB" w:rsidP="00417CDF">
            <w:pPr>
              <w:rPr>
                <w:rFonts w:ascii="Arial" w:hAnsi="Arial" w:cs="Arial"/>
                <w:b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EACD Guidelines</w:t>
            </w:r>
            <w:r w:rsidR="00294147" w:rsidRPr="00CC5FE4">
              <w:rPr>
                <w:rFonts w:ascii="Arial" w:hAnsi="Arial" w:cs="Arial"/>
                <w:b/>
                <w:sz w:val="24"/>
              </w:rPr>
              <w:t xml:space="preserve"> - update</w:t>
            </w:r>
          </w:p>
          <w:p w14:paraId="08933ACD" w14:textId="13EA83EC" w:rsidR="00ED46CB" w:rsidRPr="00CC5FE4" w:rsidRDefault="00294147" w:rsidP="00417CDF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U</w:t>
            </w:r>
            <w:r w:rsidR="00064733" w:rsidRPr="00CC5FE4">
              <w:rPr>
                <w:rFonts w:ascii="Arial" w:hAnsi="Arial" w:cs="Arial"/>
                <w:sz w:val="24"/>
              </w:rPr>
              <w:t xml:space="preserve">nder the </w:t>
            </w:r>
            <w:r w:rsidRPr="00CC5FE4">
              <w:rPr>
                <w:rFonts w:ascii="Arial" w:hAnsi="Arial" w:cs="Arial"/>
                <w:sz w:val="24"/>
              </w:rPr>
              <w:t>N</w:t>
            </w:r>
            <w:r w:rsidR="00064733" w:rsidRPr="00CC5FE4">
              <w:rPr>
                <w:rFonts w:ascii="Arial" w:hAnsi="Arial" w:cs="Arial"/>
                <w:sz w:val="24"/>
              </w:rPr>
              <w:t xml:space="preserve">ational </w:t>
            </w:r>
            <w:r w:rsidRPr="00CC5FE4">
              <w:rPr>
                <w:rFonts w:ascii="Arial" w:hAnsi="Arial" w:cs="Arial"/>
                <w:sz w:val="24"/>
              </w:rPr>
              <w:t>D</w:t>
            </w:r>
            <w:r w:rsidR="00064733" w:rsidRPr="00CC5FE4">
              <w:rPr>
                <w:rFonts w:ascii="Arial" w:hAnsi="Arial" w:cs="Arial"/>
                <w:sz w:val="24"/>
              </w:rPr>
              <w:t xml:space="preserve">rug </w:t>
            </w:r>
            <w:r w:rsidRPr="00CC5FE4">
              <w:rPr>
                <w:rFonts w:ascii="Arial" w:hAnsi="Arial" w:cs="Arial"/>
                <w:sz w:val="24"/>
              </w:rPr>
              <w:t>P</w:t>
            </w:r>
            <w:r w:rsidR="00064733" w:rsidRPr="00CC5FE4">
              <w:rPr>
                <w:rFonts w:ascii="Arial" w:hAnsi="Arial" w:cs="Arial"/>
                <w:sz w:val="24"/>
              </w:rPr>
              <w:t>olicy</w:t>
            </w:r>
            <w:r w:rsidRPr="00CC5FE4">
              <w:rPr>
                <w:rFonts w:ascii="Arial" w:hAnsi="Arial" w:cs="Arial"/>
                <w:sz w:val="24"/>
              </w:rPr>
              <w:t>,</w:t>
            </w:r>
            <w:r w:rsidR="00064733" w:rsidRPr="00CC5FE4">
              <w:rPr>
                <w:rFonts w:ascii="Arial" w:hAnsi="Arial" w:cs="Arial"/>
                <w:sz w:val="24"/>
              </w:rPr>
              <w:t xml:space="preserve"> </w:t>
            </w:r>
            <w:r w:rsidR="00394D1C" w:rsidRPr="00CC5FE4">
              <w:rPr>
                <w:rFonts w:ascii="Arial" w:hAnsi="Arial" w:cs="Arial"/>
                <w:sz w:val="24"/>
              </w:rPr>
              <w:t>one of the main actions for 2017/18 is</w:t>
            </w:r>
            <w:r w:rsidRPr="00CC5FE4">
              <w:rPr>
                <w:rFonts w:ascii="Arial" w:hAnsi="Arial" w:cs="Arial"/>
                <w:sz w:val="24"/>
              </w:rPr>
              <w:t xml:space="preserve"> </w:t>
            </w:r>
            <w:r w:rsidR="005679CC" w:rsidRPr="00CC5FE4">
              <w:rPr>
                <w:rFonts w:ascii="Arial" w:hAnsi="Arial" w:cs="Arial"/>
                <w:sz w:val="24"/>
              </w:rPr>
              <w:t xml:space="preserve">for the Government </w:t>
            </w:r>
            <w:r w:rsidRPr="00CC5FE4">
              <w:rPr>
                <w:rFonts w:ascii="Arial" w:hAnsi="Arial" w:cs="Arial"/>
                <w:sz w:val="24"/>
              </w:rPr>
              <w:t xml:space="preserve">to work </w:t>
            </w:r>
            <w:r w:rsidR="00F671A4" w:rsidRPr="00CC5FE4">
              <w:rPr>
                <w:rFonts w:ascii="Arial" w:hAnsi="Arial" w:cs="Arial"/>
                <w:sz w:val="24"/>
              </w:rPr>
              <w:t xml:space="preserve">more closely </w:t>
            </w:r>
            <w:r w:rsidRPr="00CC5FE4">
              <w:rPr>
                <w:rFonts w:ascii="Arial" w:hAnsi="Arial" w:cs="Arial"/>
                <w:sz w:val="24"/>
              </w:rPr>
              <w:t xml:space="preserve">with the </w:t>
            </w:r>
            <w:r w:rsidR="00394D1C" w:rsidRPr="00CC5FE4">
              <w:rPr>
                <w:rFonts w:ascii="Arial" w:hAnsi="Arial" w:cs="Arial"/>
                <w:sz w:val="24"/>
              </w:rPr>
              <w:t>EACD to ensure that harm minimisation is a central feature of drug classification assessments</w:t>
            </w:r>
            <w:r w:rsidRPr="00CC5FE4">
              <w:rPr>
                <w:rFonts w:ascii="Arial" w:hAnsi="Arial" w:cs="Arial"/>
                <w:sz w:val="24"/>
              </w:rPr>
              <w:t xml:space="preserve">. </w:t>
            </w:r>
            <w:r w:rsidR="00394D1C" w:rsidRPr="00CC5FE4">
              <w:rPr>
                <w:rFonts w:ascii="Arial" w:hAnsi="Arial" w:cs="Arial"/>
                <w:sz w:val="24"/>
              </w:rPr>
              <w:t>The Secretariat advised that t</w:t>
            </w:r>
            <w:r w:rsidRPr="00CC5FE4">
              <w:rPr>
                <w:rFonts w:ascii="Arial" w:hAnsi="Arial" w:cs="Arial"/>
                <w:sz w:val="24"/>
              </w:rPr>
              <w:t>he Ministry of Health</w:t>
            </w:r>
            <w:r w:rsidR="00064733" w:rsidRPr="00CC5FE4">
              <w:rPr>
                <w:rFonts w:ascii="Arial" w:hAnsi="Arial" w:cs="Arial"/>
                <w:sz w:val="24"/>
              </w:rPr>
              <w:t xml:space="preserve"> have st</w:t>
            </w:r>
            <w:r w:rsidRPr="00CC5FE4">
              <w:rPr>
                <w:rFonts w:ascii="Arial" w:hAnsi="Arial" w:cs="Arial"/>
                <w:sz w:val="24"/>
              </w:rPr>
              <w:t>arted a written plan/guidelines which w</w:t>
            </w:r>
            <w:r w:rsidR="00064733" w:rsidRPr="00CC5FE4">
              <w:rPr>
                <w:rFonts w:ascii="Arial" w:hAnsi="Arial" w:cs="Arial"/>
                <w:sz w:val="24"/>
              </w:rPr>
              <w:t xml:space="preserve">ill cover a clear definition </w:t>
            </w:r>
            <w:r w:rsidRPr="00CC5FE4">
              <w:rPr>
                <w:rFonts w:ascii="Arial" w:hAnsi="Arial" w:cs="Arial"/>
                <w:sz w:val="24"/>
              </w:rPr>
              <w:t>of harm, classification advice and a work plan.</w:t>
            </w:r>
          </w:p>
          <w:p w14:paraId="13437BEE" w14:textId="77777777" w:rsidR="00064733" w:rsidRPr="00CC5FE4" w:rsidRDefault="00064733" w:rsidP="00417CDF">
            <w:pPr>
              <w:rPr>
                <w:rFonts w:ascii="Arial" w:hAnsi="Arial" w:cs="Arial"/>
                <w:sz w:val="24"/>
              </w:rPr>
            </w:pPr>
          </w:p>
          <w:p w14:paraId="1EF60871" w14:textId="77777777" w:rsidR="00064733" w:rsidRPr="00CC5FE4" w:rsidRDefault="00294147" w:rsidP="00417CDF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A</w:t>
            </w:r>
            <w:r w:rsidR="00064733" w:rsidRPr="00CC5FE4">
              <w:rPr>
                <w:rFonts w:ascii="Arial" w:hAnsi="Arial" w:cs="Arial"/>
                <w:b/>
                <w:sz w:val="24"/>
              </w:rPr>
              <w:t xml:space="preserve">ction: </w:t>
            </w:r>
            <w:r w:rsidRPr="00CC5FE4">
              <w:rPr>
                <w:rFonts w:ascii="Arial" w:hAnsi="Arial" w:cs="Arial"/>
                <w:sz w:val="24"/>
              </w:rPr>
              <w:t xml:space="preserve">Secretariat to send out </w:t>
            </w:r>
            <w:r w:rsidR="00482FEA" w:rsidRPr="00CC5FE4">
              <w:rPr>
                <w:rFonts w:ascii="Arial" w:hAnsi="Arial" w:cs="Arial"/>
                <w:sz w:val="24"/>
              </w:rPr>
              <w:t xml:space="preserve">EACD guidelines </w:t>
            </w:r>
            <w:r w:rsidRPr="00CC5FE4">
              <w:rPr>
                <w:rFonts w:ascii="Arial" w:hAnsi="Arial" w:cs="Arial"/>
                <w:sz w:val="24"/>
              </w:rPr>
              <w:t>to Committee</w:t>
            </w:r>
            <w:r w:rsidR="00064733" w:rsidRPr="00CC5FE4">
              <w:rPr>
                <w:rFonts w:ascii="Arial" w:hAnsi="Arial" w:cs="Arial"/>
                <w:sz w:val="24"/>
              </w:rPr>
              <w:t xml:space="preserve"> once it is </w:t>
            </w:r>
            <w:r w:rsidR="0070523E" w:rsidRPr="00CC5FE4">
              <w:rPr>
                <w:rFonts w:ascii="Arial" w:hAnsi="Arial" w:cs="Arial"/>
                <w:sz w:val="24"/>
              </w:rPr>
              <w:t>closer to completion.</w:t>
            </w:r>
          </w:p>
          <w:p w14:paraId="5FAEAC9E" w14:textId="77777777" w:rsidR="00ED46CB" w:rsidRPr="00CC5FE4" w:rsidRDefault="00ED46CB" w:rsidP="00417CDF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247A1" w:rsidRPr="00CC5FE4" w14:paraId="660C2099" w14:textId="77777777" w:rsidTr="00AB5BE7">
        <w:tc>
          <w:tcPr>
            <w:tcW w:w="720" w:type="dxa"/>
          </w:tcPr>
          <w:p w14:paraId="4F04301F" w14:textId="77777777" w:rsidR="005247A1" w:rsidRPr="00CC5FE4" w:rsidRDefault="007A5876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9180" w:type="dxa"/>
          </w:tcPr>
          <w:p w14:paraId="6EB6F47E" w14:textId="77777777" w:rsidR="00ED46CB" w:rsidRPr="00CC5FE4" w:rsidRDefault="00ED46CB" w:rsidP="005247A1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b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Any other Business</w:t>
            </w:r>
          </w:p>
          <w:p w14:paraId="7BCE80CD" w14:textId="77777777" w:rsidR="00064733" w:rsidRPr="00CC5FE4" w:rsidRDefault="00A7157B" w:rsidP="005247A1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There was a brief discussion around the progress of the tramadol item. T</w:t>
            </w:r>
            <w:r w:rsidR="00482FEA" w:rsidRPr="00CC5FE4">
              <w:rPr>
                <w:rFonts w:ascii="Arial" w:hAnsi="Arial" w:cs="Arial"/>
                <w:sz w:val="24"/>
              </w:rPr>
              <w:t xml:space="preserve">he Committee had </w:t>
            </w:r>
            <w:r w:rsidRPr="00CC5FE4">
              <w:rPr>
                <w:rFonts w:ascii="Arial" w:hAnsi="Arial" w:cs="Arial"/>
                <w:sz w:val="24"/>
              </w:rPr>
              <w:t xml:space="preserve">previously </w:t>
            </w:r>
            <w:r w:rsidR="00482FEA" w:rsidRPr="00CC5FE4">
              <w:rPr>
                <w:rFonts w:ascii="Arial" w:hAnsi="Arial" w:cs="Arial"/>
                <w:sz w:val="24"/>
              </w:rPr>
              <w:t xml:space="preserve">agreed that warnings, better education and resources to prescribers </w:t>
            </w:r>
            <w:r w:rsidRPr="00CC5FE4">
              <w:rPr>
                <w:rFonts w:ascii="Arial" w:hAnsi="Arial" w:cs="Arial"/>
                <w:sz w:val="24"/>
              </w:rPr>
              <w:t xml:space="preserve">to target inappropriate prescribing would be the most appropriate way to deal with abuse as opposed to scheduling tramadol under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>.</w:t>
            </w:r>
          </w:p>
          <w:p w14:paraId="3C304291" w14:textId="77777777" w:rsidR="00482FEA" w:rsidRPr="00CC5FE4" w:rsidRDefault="00482FEA" w:rsidP="005247A1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  <w:p w14:paraId="22768587" w14:textId="77777777" w:rsidR="00E14585" w:rsidRPr="00CC5FE4" w:rsidRDefault="00294147" w:rsidP="005247A1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The Committee h</w:t>
            </w:r>
            <w:r w:rsidR="00E14585" w:rsidRPr="00CC5FE4">
              <w:rPr>
                <w:rFonts w:ascii="Arial" w:hAnsi="Arial" w:cs="Arial"/>
                <w:sz w:val="24"/>
              </w:rPr>
              <w:t xml:space="preserve">ad </w:t>
            </w:r>
            <w:r w:rsidRPr="00CC5FE4">
              <w:rPr>
                <w:rFonts w:ascii="Arial" w:hAnsi="Arial" w:cs="Arial"/>
                <w:sz w:val="24"/>
              </w:rPr>
              <w:t>previously</w:t>
            </w:r>
            <w:r w:rsidR="00E14585" w:rsidRPr="00CC5FE4">
              <w:rPr>
                <w:rFonts w:ascii="Arial" w:hAnsi="Arial" w:cs="Arial"/>
                <w:sz w:val="24"/>
              </w:rPr>
              <w:t xml:space="preserve"> agreed to </w:t>
            </w:r>
            <w:r w:rsidR="00A7157B" w:rsidRPr="00CC5FE4">
              <w:rPr>
                <w:rFonts w:ascii="Arial" w:hAnsi="Arial" w:cs="Arial"/>
                <w:sz w:val="24"/>
              </w:rPr>
              <w:t xml:space="preserve">continue to monitor abuse and inappropriate prescribing of tramadol and would </w:t>
            </w:r>
            <w:r w:rsidR="00E14585" w:rsidRPr="00CC5FE4">
              <w:rPr>
                <w:rFonts w:ascii="Arial" w:hAnsi="Arial" w:cs="Arial"/>
                <w:sz w:val="24"/>
              </w:rPr>
              <w:t xml:space="preserve">look at </w:t>
            </w:r>
            <w:r w:rsidRPr="00CC5FE4">
              <w:rPr>
                <w:rFonts w:ascii="Arial" w:hAnsi="Arial" w:cs="Arial"/>
                <w:sz w:val="24"/>
              </w:rPr>
              <w:t>potentially scheduling tramadol in 2</w:t>
            </w:r>
            <w:r w:rsidR="00A7157B" w:rsidRPr="00CC5FE4">
              <w:rPr>
                <w:rFonts w:ascii="Arial" w:hAnsi="Arial" w:cs="Arial"/>
                <w:sz w:val="24"/>
              </w:rPr>
              <w:t>017</w:t>
            </w:r>
            <w:r w:rsidR="00E14585" w:rsidRPr="00CC5FE4">
              <w:rPr>
                <w:rFonts w:ascii="Arial" w:hAnsi="Arial" w:cs="Arial"/>
                <w:sz w:val="24"/>
              </w:rPr>
              <w:t xml:space="preserve"> </w:t>
            </w:r>
            <w:r w:rsidRPr="00CC5FE4">
              <w:rPr>
                <w:rFonts w:ascii="Arial" w:hAnsi="Arial" w:cs="Arial"/>
                <w:sz w:val="24"/>
              </w:rPr>
              <w:t>pending further information</w:t>
            </w:r>
            <w:r w:rsidR="00A7157B" w:rsidRPr="00CC5FE4">
              <w:rPr>
                <w:rFonts w:ascii="Arial" w:hAnsi="Arial" w:cs="Arial"/>
                <w:sz w:val="24"/>
              </w:rPr>
              <w:t>.</w:t>
            </w:r>
          </w:p>
          <w:p w14:paraId="37ED3F25" w14:textId="77777777" w:rsidR="00E14585" w:rsidRPr="00CC5FE4" w:rsidRDefault="00E14585" w:rsidP="005247A1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  <w:p w14:paraId="239C43A3" w14:textId="77777777" w:rsidR="00E14585" w:rsidRPr="00CC5FE4" w:rsidRDefault="00A7157B" w:rsidP="005247A1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It was also r</w:t>
            </w:r>
            <w:r w:rsidR="00E14585" w:rsidRPr="00CC5FE4">
              <w:rPr>
                <w:rFonts w:ascii="Arial" w:hAnsi="Arial" w:cs="Arial"/>
                <w:sz w:val="24"/>
              </w:rPr>
              <w:t xml:space="preserve">equested that the </w:t>
            </w:r>
            <w:r w:rsidRPr="00CC5FE4">
              <w:rPr>
                <w:rFonts w:ascii="Arial" w:hAnsi="Arial" w:cs="Arial"/>
                <w:sz w:val="24"/>
              </w:rPr>
              <w:t>reported data</w:t>
            </w:r>
            <w:r w:rsidR="00294147" w:rsidRPr="00CC5FE4">
              <w:rPr>
                <w:rFonts w:ascii="Arial" w:hAnsi="Arial" w:cs="Arial"/>
                <w:sz w:val="24"/>
              </w:rPr>
              <w:t xml:space="preserve"> </w:t>
            </w:r>
            <w:r w:rsidRPr="00CC5FE4">
              <w:rPr>
                <w:rFonts w:ascii="Arial" w:hAnsi="Arial" w:cs="Arial"/>
                <w:sz w:val="24"/>
              </w:rPr>
              <w:t xml:space="preserve">also include </w:t>
            </w:r>
            <w:r w:rsidR="00E14585" w:rsidRPr="00CC5FE4">
              <w:rPr>
                <w:rFonts w:ascii="Arial" w:hAnsi="Arial" w:cs="Arial"/>
                <w:sz w:val="24"/>
              </w:rPr>
              <w:t>how many indi</w:t>
            </w:r>
            <w:r w:rsidR="00B22DEB" w:rsidRPr="00CC5FE4">
              <w:rPr>
                <w:rFonts w:ascii="Arial" w:hAnsi="Arial" w:cs="Arial"/>
                <w:sz w:val="24"/>
              </w:rPr>
              <w:t>viduals are going to different d</w:t>
            </w:r>
            <w:r w:rsidR="0070523E" w:rsidRPr="00CC5FE4">
              <w:rPr>
                <w:rFonts w:ascii="Arial" w:hAnsi="Arial" w:cs="Arial"/>
                <w:sz w:val="24"/>
              </w:rPr>
              <w:t>octo</w:t>
            </w:r>
            <w:r w:rsidRPr="00CC5FE4">
              <w:rPr>
                <w:rFonts w:ascii="Arial" w:hAnsi="Arial" w:cs="Arial"/>
                <w:sz w:val="24"/>
              </w:rPr>
              <w:t>rs and pharmacies to access tramadol</w:t>
            </w:r>
            <w:r w:rsidR="0070523E" w:rsidRPr="00CC5FE4">
              <w:rPr>
                <w:rFonts w:ascii="Arial" w:hAnsi="Arial" w:cs="Arial"/>
                <w:sz w:val="24"/>
              </w:rPr>
              <w:t xml:space="preserve"> and</w:t>
            </w:r>
            <w:r w:rsidR="00E14585" w:rsidRPr="00CC5FE4">
              <w:rPr>
                <w:rFonts w:ascii="Arial" w:hAnsi="Arial" w:cs="Arial"/>
                <w:sz w:val="24"/>
              </w:rPr>
              <w:t xml:space="preserve"> how many people are being prescr</w:t>
            </w:r>
            <w:r w:rsidRPr="00CC5FE4">
              <w:rPr>
                <w:rFonts w:ascii="Arial" w:hAnsi="Arial" w:cs="Arial"/>
                <w:sz w:val="24"/>
              </w:rPr>
              <w:t>ibed more than the maximum dose.</w:t>
            </w:r>
          </w:p>
          <w:p w14:paraId="3CDB8BD9" w14:textId="77777777" w:rsidR="00A7157B" w:rsidRPr="00CC5FE4" w:rsidRDefault="00A7157B" w:rsidP="005247A1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  <w:p w14:paraId="4D90D02F" w14:textId="77777777" w:rsidR="00A7157B" w:rsidRPr="00CC5FE4" w:rsidRDefault="00A7157B" w:rsidP="005247A1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 xml:space="preserve">Action: </w:t>
            </w:r>
            <w:r w:rsidRPr="00CC5FE4">
              <w:rPr>
                <w:rFonts w:ascii="Arial" w:hAnsi="Arial" w:cs="Arial"/>
                <w:sz w:val="24"/>
              </w:rPr>
              <w:t>Secretariat to look at how many individuals are getting prescripti</w:t>
            </w:r>
            <w:r w:rsidR="00B22DEB" w:rsidRPr="00CC5FE4">
              <w:rPr>
                <w:rFonts w:ascii="Arial" w:hAnsi="Arial" w:cs="Arial"/>
                <w:sz w:val="24"/>
              </w:rPr>
              <w:t>ons for tramadol from multiple d</w:t>
            </w:r>
            <w:r w:rsidR="0070523E" w:rsidRPr="00CC5FE4">
              <w:rPr>
                <w:rFonts w:ascii="Arial" w:hAnsi="Arial" w:cs="Arial"/>
                <w:sz w:val="24"/>
              </w:rPr>
              <w:t>octo</w:t>
            </w:r>
            <w:r w:rsidRPr="00CC5FE4">
              <w:rPr>
                <w:rFonts w:ascii="Arial" w:hAnsi="Arial" w:cs="Arial"/>
                <w:sz w:val="24"/>
              </w:rPr>
              <w:t>rs and pharmacies as well as the number of individuals being prescribed more than the maximum doses to include in the annual reporting.</w:t>
            </w:r>
          </w:p>
          <w:p w14:paraId="478F786F" w14:textId="77777777" w:rsidR="00E14585" w:rsidRPr="00CC5FE4" w:rsidRDefault="00E14585" w:rsidP="005247A1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</w:tc>
      </w:tr>
      <w:tr w:rsidR="005247A1" w:rsidRPr="00CC5FE4" w14:paraId="747B4465" w14:textId="77777777" w:rsidTr="00AB5BE7">
        <w:tc>
          <w:tcPr>
            <w:tcW w:w="720" w:type="dxa"/>
          </w:tcPr>
          <w:p w14:paraId="7A4B8B75" w14:textId="77777777" w:rsidR="005247A1" w:rsidRPr="00CC5FE4" w:rsidRDefault="007A5876" w:rsidP="00AB5BE7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9180" w:type="dxa"/>
          </w:tcPr>
          <w:p w14:paraId="3F320DB3" w14:textId="77777777" w:rsidR="005247A1" w:rsidRPr="00CC5FE4" w:rsidRDefault="00ED46CB" w:rsidP="005247A1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Future meetings</w:t>
            </w:r>
          </w:p>
          <w:p w14:paraId="7E447227" w14:textId="77777777" w:rsidR="00ED46CB" w:rsidRPr="00CC5FE4" w:rsidRDefault="00E14585" w:rsidP="005247A1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The next meeting wi</w:t>
            </w:r>
            <w:r w:rsidR="00294147" w:rsidRPr="00CC5FE4">
              <w:rPr>
                <w:rFonts w:ascii="Arial" w:hAnsi="Arial" w:cs="Arial"/>
                <w:sz w:val="24"/>
              </w:rPr>
              <w:t>l</w:t>
            </w:r>
            <w:r w:rsidR="0070523E" w:rsidRPr="00CC5FE4">
              <w:rPr>
                <w:rFonts w:ascii="Arial" w:hAnsi="Arial" w:cs="Arial"/>
                <w:sz w:val="24"/>
              </w:rPr>
              <w:t>l be held</w:t>
            </w:r>
            <w:r w:rsidRPr="00CC5FE4">
              <w:rPr>
                <w:rFonts w:ascii="Arial" w:hAnsi="Arial" w:cs="Arial"/>
                <w:sz w:val="24"/>
              </w:rPr>
              <w:t xml:space="preserve"> tentatively </w:t>
            </w:r>
            <w:r w:rsidR="0070523E" w:rsidRPr="00CC5FE4">
              <w:rPr>
                <w:rFonts w:ascii="Arial" w:hAnsi="Arial" w:cs="Arial"/>
                <w:sz w:val="24"/>
              </w:rPr>
              <w:t xml:space="preserve">in </w:t>
            </w:r>
            <w:r w:rsidRPr="00CC5FE4">
              <w:rPr>
                <w:rFonts w:ascii="Arial" w:hAnsi="Arial" w:cs="Arial"/>
                <w:sz w:val="24"/>
              </w:rPr>
              <w:t>early October</w:t>
            </w:r>
            <w:r w:rsidR="00482FEA" w:rsidRPr="00CC5FE4">
              <w:rPr>
                <w:rFonts w:ascii="Arial" w:hAnsi="Arial" w:cs="Arial"/>
                <w:sz w:val="24"/>
              </w:rPr>
              <w:t xml:space="preserve">. Exact date TBC </w:t>
            </w:r>
            <w:r w:rsidR="00A7157B" w:rsidRPr="00CC5FE4">
              <w:rPr>
                <w:rFonts w:ascii="Arial" w:hAnsi="Arial" w:cs="Arial"/>
                <w:sz w:val="24"/>
              </w:rPr>
              <w:t>pending confirmation of the dates for the Ministry of Health building move.</w:t>
            </w:r>
          </w:p>
          <w:p w14:paraId="22DC321D" w14:textId="77777777" w:rsidR="00ED46CB" w:rsidRPr="00CC5FE4" w:rsidRDefault="00ED46CB" w:rsidP="005247A1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37FBC9EF" w14:textId="77777777" w:rsidR="007F6F56" w:rsidRPr="00CC5FE4" w:rsidRDefault="007F6F56" w:rsidP="007F6F56">
      <w:pPr>
        <w:rPr>
          <w:rFonts w:cs="Arial"/>
        </w:rPr>
      </w:pPr>
    </w:p>
    <w:p w14:paraId="517E9763" w14:textId="77777777" w:rsidR="007F6F56" w:rsidRPr="00CC5FE4" w:rsidRDefault="00E14585" w:rsidP="007F6F56">
      <w:pPr>
        <w:tabs>
          <w:tab w:val="right" w:leader="underscore" w:pos="5670"/>
          <w:tab w:val="left" w:pos="6237"/>
        </w:tabs>
        <w:rPr>
          <w:rFonts w:cs="Arial"/>
        </w:rPr>
      </w:pPr>
      <w:r w:rsidRPr="00CC5FE4">
        <w:rPr>
          <w:rFonts w:cs="Arial"/>
        </w:rPr>
        <w:t>The meeting closed at 3.10pm</w:t>
      </w:r>
    </w:p>
    <w:p w14:paraId="00828856" w14:textId="77777777" w:rsidR="00E14585" w:rsidRPr="00CC5FE4" w:rsidRDefault="00E14585" w:rsidP="007F6F56">
      <w:pPr>
        <w:tabs>
          <w:tab w:val="right" w:leader="underscore" w:pos="5670"/>
          <w:tab w:val="left" w:pos="6237"/>
        </w:tabs>
        <w:rPr>
          <w:rFonts w:cs="Aria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5687"/>
        <w:gridCol w:w="1941"/>
        <w:gridCol w:w="1457"/>
      </w:tblGrid>
      <w:tr w:rsidR="007F6F56" w:rsidRPr="00CC5FE4" w14:paraId="2437EBE7" w14:textId="77777777" w:rsidTr="00EA3EA4">
        <w:tc>
          <w:tcPr>
            <w:tcW w:w="720" w:type="dxa"/>
          </w:tcPr>
          <w:p w14:paraId="2AB4F6C7" w14:textId="77777777" w:rsidR="007F6F56" w:rsidRPr="00CC5FE4" w:rsidRDefault="007F6F56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5687" w:type="dxa"/>
          </w:tcPr>
          <w:p w14:paraId="7B6BF839" w14:textId="77777777" w:rsidR="007F6F56" w:rsidRPr="00CC5FE4" w:rsidRDefault="007F6F56" w:rsidP="00AB5BE7">
            <w:pPr>
              <w:rPr>
                <w:rFonts w:ascii="Arial" w:hAnsi="Arial" w:cs="Arial"/>
                <w:b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Action</w:t>
            </w:r>
          </w:p>
        </w:tc>
        <w:tc>
          <w:tcPr>
            <w:tcW w:w="1941" w:type="dxa"/>
          </w:tcPr>
          <w:p w14:paraId="781E966E" w14:textId="77777777" w:rsidR="007F6F56" w:rsidRPr="00CC5FE4" w:rsidRDefault="007F6F56" w:rsidP="00AB5BE7">
            <w:pPr>
              <w:rPr>
                <w:rFonts w:ascii="Arial" w:hAnsi="Arial" w:cs="Arial"/>
                <w:b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Who</w:t>
            </w:r>
          </w:p>
        </w:tc>
        <w:tc>
          <w:tcPr>
            <w:tcW w:w="1457" w:type="dxa"/>
          </w:tcPr>
          <w:p w14:paraId="487DFBF6" w14:textId="77777777" w:rsidR="007F6F56" w:rsidRPr="00CC5FE4" w:rsidRDefault="007F6F56" w:rsidP="00AB5BE7">
            <w:pPr>
              <w:rPr>
                <w:rFonts w:ascii="Arial" w:hAnsi="Arial" w:cs="Arial"/>
                <w:b/>
                <w:sz w:val="24"/>
              </w:rPr>
            </w:pPr>
            <w:r w:rsidRPr="00CC5FE4">
              <w:rPr>
                <w:rFonts w:ascii="Arial" w:hAnsi="Arial" w:cs="Arial"/>
                <w:b/>
                <w:sz w:val="24"/>
              </w:rPr>
              <w:t>Completed</w:t>
            </w:r>
          </w:p>
        </w:tc>
      </w:tr>
      <w:tr w:rsidR="007F6F56" w:rsidRPr="00CC5FE4" w14:paraId="5D8CDD09" w14:textId="77777777" w:rsidTr="00EA3EA4">
        <w:tc>
          <w:tcPr>
            <w:tcW w:w="720" w:type="dxa"/>
          </w:tcPr>
          <w:p w14:paraId="1061C71A" w14:textId="77777777" w:rsidR="007F6F56" w:rsidRPr="00CC5FE4" w:rsidRDefault="007F6F56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87" w:type="dxa"/>
          </w:tcPr>
          <w:p w14:paraId="121FDD2E" w14:textId="77777777" w:rsidR="007F6F56" w:rsidRPr="00CC5FE4" w:rsidRDefault="00AB5BE7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Liaise with IACD Secretariat regarding lines of communication with respect to what emerging substances for EACD to consider</w:t>
            </w:r>
            <w:r w:rsidR="00BB1EA0" w:rsidRPr="00CC5FE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41" w:type="dxa"/>
          </w:tcPr>
          <w:p w14:paraId="6B74F20B" w14:textId="77777777" w:rsidR="007F6F56" w:rsidRPr="00CC5FE4" w:rsidRDefault="00AB5BE7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Secretariat</w:t>
            </w:r>
          </w:p>
        </w:tc>
        <w:tc>
          <w:tcPr>
            <w:tcW w:w="1457" w:type="dxa"/>
          </w:tcPr>
          <w:p w14:paraId="00768304" w14:textId="77777777" w:rsidR="007F6F56" w:rsidRPr="00CC5FE4" w:rsidRDefault="007F6F56" w:rsidP="00AB5BE7">
            <w:pPr>
              <w:rPr>
                <w:rFonts w:ascii="Arial" w:hAnsi="Arial" w:cs="Arial"/>
                <w:sz w:val="24"/>
              </w:rPr>
            </w:pPr>
          </w:p>
        </w:tc>
      </w:tr>
      <w:tr w:rsidR="00026BF6" w:rsidRPr="00CC5FE4" w14:paraId="3FD8CC6F" w14:textId="77777777" w:rsidTr="00EA3EA4">
        <w:tc>
          <w:tcPr>
            <w:tcW w:w="720" w:type="dxa"/>
          </w:tcPr>
          <w:p w14:paraId="00087F09" w14:textId="77777777" w:rsidR="00026BF6" w:rsidRPr="00CC5FE4" w:rsidRDefault="00026BF6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687" w:type="dxa"/>
          </w:tcPr>
          <w:p w14:paraId="60FE3643" w14:textId="3A1D1696" w:rsidR="00026BF6" w:rsidRPr="00CC5FE4" w:rsidRDefault="00BB1EA0" w:rsidP="004C4308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S</w:t>
            </w:r>
            <w:r w:rsidR="00AB5BE7" w:rsidRPr="00CC5FE4">
              <w:rPr>
                <w:rFonts w:ascii="Arial" w:hAnsi="Arial" w:cs="Arial"/>
                <w:sz w:val="24"/>
              </w:rPr>
              <w:t xml:space="preserve">peak to some General Practitioners that have expertise in addiction and work closely with </w:t>
            </w:r>
            <w:r w:rsidR="004C4308" w:rsidRPr="00CC5FE4">
              <w:rPr>
                <w:rFonts w:ascii="Arial" w:hAnsi="Arial" w:cs="Arial"/>
                <w:sz w:val="24"/>
              </w:rPr>
              <w:t>P</w:t>
            </w:r>
            <w:r w:rsidR="00AB5BE7" w:rsidRPr="00CC5FE4">
              <w:rPr>
                <w:rFonts w:ascii="Arial" w:hAnsi="Arial" w:cs="Arial"/>
                <w:sz w:val="24"/>
              </w:rPr>
              <w:t xml:space="preserve">olice with regard to finding someone to replace </w:t>
            </w:r>
            <w:r w:rsidR="00521E43" w:rsidRPr="00CC5FE4">
              <w:rPr>
                <w:rFonts w:ascii="Arial" w:hAnsi="Arial" w:cs="Arial"/>
                <w:sz w:val="24"/>
              </w:rPr>
              <w:t xml:space="preserve">[redacted] </w:t>
            </w:r>
            <w:r w:rsidR="00AB5BE7" w:rsidRPr="00CC5FE4">
              <w:rPr>
                <w:rFonts w:ascii="Arial" w:hAnsi="Arial" w:cs="Arial"/>
                <w:sz w:val="24"/>
              </w:rPr>
              <w:t>as the community medicine representative on the Committee</w:t>
            </w:r>
            <w:r w:rsidRPr="00CC5FE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41" w:type="dxa"/>
          </w:tcPr>
          <w:p w14:paraId="137498D0" w14:textId="66B3F217" w:rsidR="00026BF6" w:rsidRPr="00CC5FE4" w:rsidRDefault="009505E0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[redacted]</w:t>
            </w:r>
          </w:p>
        </w:tc>
        <w:tc>
          <w:tcPr>
            <w:tcW w:w="1457" w:type="dxa"/>
          </w:tcPr>
          <w:p w14:paraId="7B1716F6" w14:textId="77777777" w:rsidR="00026BF6" w:rsidRPr="00CC5FE4" w:rsidRDefault="00026BF6" w:rsidP="00026BF6">
            <w:pPr>
              <w:rPr>
                <w:rFonts w:ascii="Arial" w:hAnsi="Arial" w:cs="Arial"/>
                <w:sz w:val="24"/>
              </w:rPr>
            </w:pPr>
          </w:p>
        </w:tc>
      </w:tr>
      <w:tr w:rsidR="00026BF6" w:rsidRPr="00CC5FE4" w14:paraId="6F8A7F6F" w14:textId="77777777" w:rsidTr="00EA3EA4">
        <w:tc>
          <w:tcPr>
            <w:tcW w:w="720" w:type="dxa"/>
          </w:tcPr>
          <w:p w14:paraId="7B279BE8" w14:textId="77777777" w:rsidR="00026BF6" w:rsidRPr="00CC5FE4" w:rsidRDefault="00026BF6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lastRenderedPageBreak/>
              <w:t>3</w:t>
            </w:r>
          </w:p>
        </w:tc>
        <w:tc>
          <w:tcPr>
            <w:tcW w:w="5687" w:type="dxa"/>
          </w:tcPr>
          <w:p w14:paraId="39950E77" w14:textId="08F83C02" w:rsidR="00026BF6" w:rsidRPr="00CC5FE4" w:rsidRDefault="00AB5BE7" w:rsidP="00AB5BE7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Speak to The Royal New Zealand College of General Practitioners and Pharmacology and Therapeutics Advisory Committee (PTAC) for recommendations to replace </w:t>
            </w:r>
            <w:r w:rsidR="00521E43" w:rsidRPr="00CC5FE4">
              <w:rPr>
                <w:rFonts w:ascii="Arial" w:hAnsi="Arial" w:cs="Arial"/>
                <w:sz w:val="24"/>
              </w:rPr>
              <w:t xml:space="preserve">[redacted] </w:t>
            </w:r>
            <w:r w:rsidRPr="00CC5FE4">
              <w:rPr>
                <w:rFonts w:ascii="Arial" w:hAnsi="Arial" w:cs="Arial"/>
                <w:sz w:val="24"/>
              </w:rPr>
              <w:t>as the community medicine representative on the Committee</w:t>
            </w:r>
            <w:r w:rsidR="00BB1EA0" w:rsidRPr="00CC5FE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41" w:type="dxa"/>
          </w:tcPr>
          <w:p w14:paraId="2658B663" w14:textId="77777777" w:rsidR="00026BF6" w:rsidRPr="00CC5FE4" w:rsidRDefault="00AB5BE7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Secretariat</w:t>
            </w:r>
          </w:p>
        </w:tc>
        <w:tc>
          <w:tcPr>
            <w:tcW w:w="1457" w:type="dxa"/>
          </w:tcPr>
          <w:p w14:paraId="3459AE8F" w14:textId="77777777" w:rsidR="00026BF6" w:rsidRPr="00CC5FE4" w:rsidRDefault="00026BF6" w:rsidP="00026BF6">
            <w:pPr>
              <w:rPr>
                <w:rFonts w:ascii="Arial" w:hAnsi="Arial" w:cs="Arial"/>
                <w:sz w:val="24"/>
              </w:rPr>
            </w:pPr>
          </w:p>
        </w:tc>
      </w:tr>
      <w:tr w:rsidR="00026BF6" w:rsidRPr="00CC5FE4" w14:paraId="570E40B2" w14:textId="77777777" w:rsidTr="00EA3EA4">
        <w:tc>
          <w:tcPr>
            <w:tcW w:w="720" w:type="dxa"/>
          </w:tcPr>
          <w:p w14:paraId="2F47BD36" w14:textId="77777777" w:rsidR="00026BF6" w:rsidRPr="00CC5FE4" w:rsidRDefault="00026BF6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687" w:type="dxa"/>
          </w:tcPr>
          <w:p w14:paraId="6E328C11" w14:textId="77777777" w:rsidR="00026BF6" w:rsidRPr="00CC5FE4" w:rsidRDefault="00AB5BE7" w:rsidP="004C4308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Find out the process that led to the 0.35 percent threshold of THC content allowed in hemp and report back to the committee.</w:t>
            </w:r>
          </w:p>
        </w:tc>
        <w:tc>
          <w:tcPr>
            <w:tcW w:w="1941" w:type="dxa"/>
          </w:tcPr>
          <w:p w14:paraId="24346502" w14:textId="77777777" w:rsidR="00026BF6" w:rsidRPr="00CC5FE4" w:rsidRDefault="00AB5BE7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Secretariat</w:t>
            </w:r>
          </w:p>
        </w:tc>
        <w:tc>
          <w:tcPr>
            <w:tcW w:w="1457" w:type="dxa"/>
          </w:tcPr>
          <w:p w14:paraId="0913C8E2" w14:textId="77777777" w:rsidR="00026BF6" w:rsidRPr="00CC5FE4" w:rsidRDefault="00026BF6" w:rsidP="00026BF6">
            <w:pPr>
              <w:rPr>
                <w:rFonts w:ascii="Arial" w:hAnsi="Arial" w:cs="Arial"/>
                <w:sz w:val="24"/>
              </w:rPr>
            </w:pPr>
          </w:p>
        </w:tc>
      </w:tr>
      <w:tr w:rsidR="00026BF6" w:rsidRPr="00CC5FE4" w14:paraId="7C5DA700" w14:textId="77777777" w:rsidTr="00EA3EA4">
        <w:tc>
          <w:tcPr>
            <w:tcW w:w="720" w:type="dxa"/>
          </w:tcPr>
          <w:p w14:paraId="58D4C826" w14:textId="77777777" w:rsidR="00026BF6" w:rsidRPr="00CC5FE4" w:rsidRDefault="00026BF6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5687" w:type="dxa"/>
          </w:tcPr>
          <w:p w14:paraId="760F51B0" w14:textId="77777777" w:rsidR="00026BF6" w:rsidRPr="00CC5FE4" w:rsidRDefault="00AB5BE7" w:rsidP="00026BF6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Find out what the process was for the TGA reaching the two percent threshold of other cannabinoids allowed in CBD medicines.</w:t>
            </w:r>
          </w:p>
        </w:tc>
        <w:tc>
          <w:tcPr>
            <w:tcW w:w="1941" w:type="dxa"/>
          </w:tcPr>
          <w:p w14:paraId="44BDBEC1" w14:textId="77777777" w:rsidR="00026BF6" w:rsidRPr="00CC5FE4" w:rsidRDefault="00AB5BE7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Secretariat</w:t>
            </w:r>
          </w:p>
        </w:tc>
        <w:tc>
          <w:tcPr>
            <w:tcW w:w="1457" w:type="dxa"/>
          </w:tcPr>
          <w:p w14:paraId="3E4BC8A8" w14:textId="77777777" w:rsidR="00026BF6" w:rsidRPr="00CC5FE4" w:rsidRDefault="00026BF6" w:rsidP="00026BF6">
            <w:pPr>
              <w:rPr>
                <w:rFonts w:ascii="Arial" w:hAnsi="Arial" w:cs="Arial"/>
                <w:sz w:val="24"/>
              </w:rPr>
            </w:pPr>
          </w:p>
        </w:tc>
      </w:tr>
      <w:tr w:rsidR="00026BF6" w:rsidRPr="00CC5FE4" w14:paraId="186F7C7C" w14:textId="77777777" w:rsidTr="00EA3EA4">
        <w:tc>
          <w:tcPr>
            <w:tcW w:w="720" w:type="dxa"/>
          </w:tcPr>
          <w:p w14:paraId="2FDCA044" w14:textId="77777777" w:rsidR="00026BF6" w:rsidRPr="00CC5FE4" w:rsidRDefault="00026BF6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687" w:type="dxa"/>
          </w:tcPr>
          <w:p w14:paraId="3DFD0E85" w14:textId="77777777" w:rsidR="00026BF6" w:rsidRPr="00CC5FE4" w:rsidRDefault="00AB5BE7" w:rsidP="004C4308">
            <w:pPr>
              <w:tabs>
                <w:tab w:val="right" w:leader="underscore" w:pos="5670"/>
                <w:tab w:val="left" w:pos="6237"/>
              </w:tabs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Find out more information around </w:t>
            </w:r>
            <w:r w:rsidR="004C4308" w:rsidRPr="00CC5FE4">
              <w:rPr>
                <w:rFonts w:ascii="Arial" w:hAnsi="Arial" w:cs="Arial"/>
                <w:sz w:val="24"/>
              </w:rPr>
              <w:t xml:space="preserve">the average </w:t>
            </w:r>
            <w:r w:rsidRPr="00CC5FE4">
              <w:rPr>
                <w:rFonts w:ascii="Arial" w:hAnsi="Arial" w:cs="Arial"/>
                <w:sz w:val="24"/>
              </w:rPr>
              <w:t xml:space="preserve">levels of THC </w:t>
            </w:r>
            <w:r w:rsidR="004C4308" w:rsidRPr="00CC5FE4">
              <w:rPr>
                <w:rFonts w:ascii="Arial" w:hAnsi="Arial" w:cs="Arial"/>
                <w:sz w:val="24"/>
              </w:rPr>
              <w:t>in</w:t>
            </w:r>
            <w:r w:rsidRPr="00CC5FE4">
              <w:rPr>
                <w:rFonts w:ascii="Arial" w:hAnsi="Arial" w:cs="Arial"/>
                <w:sz w:val="24"/>
              </w:rPr>
              <w:t xml:space="preserve"> cannabis that is circulating in the NZ market.</w:t>
            </w:r>
          </w:p>
        </w:tc>
        <w:tc>
          <w:tcPr>
            <w:tcW w:w="1941" w:type="dxa"/>
          </w:tcPr>
          <w:p w14:paraId="3022D889" w14:textId="77777777" w:rsidR="00026BF6" w:rsidRPr="00CC5FE4" w:rsidRDefault="00AB5BE7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Secretariat</w:t>
            </w:r>
          </w:p>
        </w:tc>
        <w:tc>
          <w:tcPr>
            <w:tcW w:w="1457" w:type="dxa"/>
          </w:tcPr>
          <w:p w14:paraId="43D9DFE7" w14:textId="77777777" w:rsidR="00026BF6" w:rsidRPr="00CC5FE4" w:rsidRDefault="00026BF6" w:rsidP="00026BF6">
            <w:pPr>
              <w:rPr>
                <w:rFonts w:ascii="Arial" w:hAnsi="Arial" w:cs="Arial"/>
                <w:sz w:val="24"/>
              </w:rPr>
            </w:pPr>
          </w:p>
        </w:tc>
      </w:tr>
      <w:tr w:rsidR="007E5FB2" w:rsidRPr="00CC5FE4" w14:paraId="0DC3159C" w14:textId="77777777" w:rsidTr="00EA3EA4">
        <w:tc>
          <w:tcPr>
            <w:tcW w:w="720" w:type="dxa"/>
          </w:tcPr>
          <w:p w14:paraId="0807532D" w14:textId="77777777" w:rsidR="007E5FB2" w:rsidRPr="00CC5FE4" w:rsidRDefault="007E5FB2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687" w:type="dxa"/>
          </w:tcPr>
          <w:p w14:paraId="1C0EACAF" w14:textId="77777777" w:rsidR="007E5FB2" w:rsidRPr="00CC5FE4" w:rsidRDefault="00AF2A34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Find out more information regarding effects of consumption of products containing different concentrations of THC.</w:t>
            </w:r>
          </w:p>
        </w:tc>
        <w:tc>
          <w:tcPr>
            <w:tcW w:w="1941" w:type="dxa"/>
          </w:tcPr>
          <w:p w14:paraId="7A03660D" w14:textId="77777777" w:rsidR="007E5FB2" w:rsidRPr="00CC5FE4" w:rsidRDefault="00AB5BE7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Secretariat</w:t>
            </w:r>
          </w:p>
        </w:tc>
        <w:tc>
          <w:tcPr>
            <w:tcW w:w="1457" w:type="dxa"/>
          </w:tcPr>
          <w:p w14:paraId="6F6EEE91" w14:textId="77777777" w:rsidR="007E5FB2" w:rsidRPr="00CC5FE4" w:rsidRDefault="007E5FB2" w:rsidP="00026BF6">
            <w:pPr>
              <w:rPr>
                <w:rFonts w:ascii="Arial" w:hAnsi="Arial" w:cs="Arial"/>
                <w:sz w:val="24"/>
              </w:rPr>
            </w:pPr>
          </w:p>
        </w:tc>
      </w:tr>
      <w:tr w:rsidR="00026BF6" w:rsidRPr="00CC5FE4" w14:paraId="621D26BA" w14:textId="77777777" w:rsidTr="00EA3EA4">
        <w:tc>
          <w:tcPr>
            <w:tcW w:w="720" w:type="dxa"/>
          </w:tcPr>
          <w:p w14:paraId="1020A890" w14:textId="77777777" w:rsidR="00026BF6" w:rsidRPr="00CC5FE4" w:rsidRDefault="007E5FB2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687" w:type="dxa"/>
          </w:tcPr>
          <w:p w14:paraId="4FEF5A34" w14:textId="77777777" w:rsidR="00026BF6" w:rsidRPr="00CC5FE4" w:rsidRDefault="00AF2A34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Add CBD to the next meeting agenda</w:t>
            </w:r>
          </w:p>
        </w:tc>
        <w:tc>
          <w:tcPr>
            <w:tcW w:w="1941" w:type="dxa"/>
          </w:tcPr>
          <w:p w14:paraId="2C645814" w14:textId="77777777" w:rsidR="00026BF6" w:rsidRPr="00CC5FE4" w:rsidRDefault="00AF2A34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Secretariat</w:t>
            </w:r>
          </w:p>
        </w:tc>
        <w:tc>
          <w:tcPr>
            <w:tcW w:w="1457" w:type="dxa"/>
          </w:tcPr>
          <w:p w14:paraId="2093D348" w14:textId="77777777" w:rsidR="00026BF6" w:rsidRPr="00CC5FE4" w:rsidRDefault="00026BF6" w:rsidP="00026BF6">
            <w:pPr>
              <w:rPr>
                <w:rFonts w:ascii="Arial" w:hAnsi="Arial" w:cs="Arial"/>
                <w:sz w:val="24"/>
              </w:rPr>
            </w:pPr>
          </w:p>
        </w:tc>
      </w:tr>
      <w:tr w:rsidR="00026BF6" w:rsidRPr="00CC5FE4" w14:paraId="0C89285D" w14:textId="77777777" w:rsidTr="00EA3EA4">
        <w:tc>
          <w:tcPr>
            <w:tcW w:w="720" w:type="dxa"/>
          </w:tcPr>
          <w:p w14:paraId="1363A8E8" w14:textId="77777777" w:rsidR="00026BF6" w:rsidRPr="00CC5FE4" w:rsidRDefault="007E5FB2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687" w:type="dxa"/>
          </w:tcPr>
          <w:p w14:paraId="71537F01" w14:textId="77777777" w:rsidR="00026BF6" w:rsidRPr="00CC5FE4" w:rsidRDefault="00BB1EA0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Begin process to schedule alpha-PVP as a Class A controlled drug under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41" w:type="dxa"/>
          </w:tcPr>
          <w:p w14:paraId="2B3C4871" w14:textId="77777777" w:rsidR="00026BF6" w:rsidRPr="00CC5FE4" w:rsidRDefault="00BB1EA0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Secretariat</w:t>
            </w:r>
          </w:p>
        </w:tc>
        <w:tc>
          <w:tcPr>
            <w:tcW w:w="1457" w:type="dxa"/>
          </w:tcPr>
          <w:p w14:paraId="42B3F34A" w14:textId="77777777" w:rsidR="00026BF6" w:rsidRPr="00CC5FE4" w:rsidRDefault="00026BF6" w:rsidP="00026BF6">
            <w:pPr>
              <w:rPr>
                <w:rFonts w:ascii="Arial" w:hAnsi="Arial" w:cs="Arial"/>
                <w:sz w:val="24"/>
              </w:rPr>
            </w:pPr>
          </w:p>
        </w:tc>
      </w:tr>
      <w:tr w:rsidR="00E615B6" w:rsidRPr="00CC5FE4" w14:paraId="1C2AD375" w14:textId="77777777" w:rsidTr="00EA3EA4">
        <w:tc>
          <w:tcPr>
            <w:tcW w:w="720" w:type="dxa"/>
          </w:tcPr>
          <w:p w14:paraId="04DE4065" w14:textId="77777777" w:rsidR="00E615B6" w:rsidRPr="00CC5FE4" w:rsidRDefault="00E615B6" w:rsidP="00026BF6">
            <w:pPr>
              <w:rPr>
                <w:rFonts w:cs="Arial"/>
              </w:rPr>
            </w:pPr>
            <w:r w:rsidRPr="00CC5FE4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5687" w:type="dxa"/>
          </w:tcPr>
          <w:p w14:paraId="5D59168A" w14:textId="77777777" w:rsidR="00E615B6" w:rsidRPr="00CC5FE4" w:rsidRDefault="00E615B6" w:rsidP="00026BF6">
            <w:pPr>
              <w:rPr>
                <w:rFonts w:cs="Arial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Begin the process of scheduling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hypophosphorous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acid, red phosphorous, </w:t>
            </w:r>
            <w:r w:rsidR="00E36833" w:rsidRPr="00CC5FE4">
              <w:rPr>
                <w:rFonts w:ascii="Arial" w:hAnsi="Arial" w:cs="Arial"/>
                <w:sz w:val="24"/>
              </w:rPr>
              <w:t xml:space="preserve">phosphorous acid, </w:t>
            </w:r>
            <w:proofErr w:type="gramStart"/>
            <w:r w:rsidRPr="00CC5FE4">
              <w:rPr>
                <w:rFonts w:ascii="Arial" w:hAnsi="Arial" w:cs="Arial"/>
                <w:sz w:val="24"/>
              </w:rPr>
              <w:t>iodine</w:t>
            </w:r>
            <w:proofErr w:type="gramEnd"/>
            <w:r w:rsidRPr="00CC5FE4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hydriodic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acid chemicals under part 2 schedule 4 in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41" w:type="dxa"/>
          </w:tcPr>
          <w:p w14:paraId="3DC2A0A6" w14:textId="77777777" w:rsidR="00E615B6" w:rsidRPr="00CC5FE4" w:rsidRDefault="00E615B6" w:rsidP="00026BF6">
            <w:pPr>
              <w:rPr>
                <w:rFonts w:cs="Arial"/>
              </w:rPr>
            </w:pPr>
            <w:r w:rsidRPr="00CC5FE4">
              <w:rPr>
                <w:rFonts w:ascii="Arial" w:hAnsi="Arial" w:cs="Arial"/>
                <w:sz w:val="24"/>
              </w:rPr>
              <w:t>Secretariat</w:t>
            </w:r>
          </w:p>
        </w:tc>
        <w:tc>
          <w:tcPr>
            <w:tcW w:w="1457" w:type="dxa"/>
          </w:tcPr>
          <w:p w14:paraId="6E99C516" w14:textId="77777777" w:rsidR="00E615B6" w:rsidRPr="00CC5FE4" w:rsidRDefault="00E615B6" w:rsidP="00026BF6">
            <w:pPr>
              <w:rPr>
                <w:rFonts w:cs="Arial"/>
              </w:rPr>
            </w:pPr>
          </w:p>
        </w:tc>
      </w:tr>
      <w:tr w:rsidR="00026BF6" w:rsidRPr="00CC5FE4" w14:paraId="382A51D4" w14:textId="77777777" w:rsidTr="00EA3EA4">
        <w:tc>
          <w:tcPr>
            <w:tcW w:w="720" w:type="dxa"/>
          </w:tcPr>
          <w:p w14:paraId="31FEE9B9" w14:textId="77777777" w:rsidR="00026BF6" w:rsidRPr="00CC5FE4" w:rsidRDefault="00E615B6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5687" w:type="dxa"/>
          </w:tcPr>
          <w:p w14:paraId="1B593D38" w14:textId="77777777" w:rsidR="00026BF6" w:rsidRPr="00CC5FE4" w:rsidRDefault="00550EC6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 xml:space="preserve">Begin the process to schedule both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methylone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and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mephedrone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 xml:space="preserve"> as Class B2 controlled drugs under </w:t>
            </w:r>
            <w:proofErr w:type="spellStart"/>
            <w:r w:rsidRPr="00CC5FE4">
              <w:rPr>
                <w:rFonts w:ascii="Arial" w:hAnsi="Arial" w:cs="Arial"/>
                <w:sz w:val="24"/>
              </w:rPr>
              <w:t>MoDA</w:t>
            </w:r>
            <w:proofErr w:type="spellEnd"/>
            <w:r w:rsidRPr="00CC5FE4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1941" w:type="dxa"/>
          </w:tcPr>
          <w:p w14:paraId="498E4D1C" w14:textId="77777777" w:rsidR="00026BF6" w:rsidRPr="00CC5FE4" w:rsidRDefault="00550EC6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Secretariat</w:t>
            </w:r>
          </w:p>
        </w:tc>
        <w:tc>
          <w:tcPr>
            <w:tcW w:w="1457" w:type="dxa"/>
          </w:tcPr>
          <w:p w14:paraId="7330F4C0" w14:textId="77777777" w:rsidR="00026BF6" w:rsidRPr="00CC5FE4" w:rsidRDefault="00026BF6" w:rsidP="00026BF6">
            <w:pPr>
              <w:rPr>
                <w:rFonts w:ascii="Arial" w:hAnsi="Arial" w:cs="Arial"/>
                <w:sz w:val="24"/>
              </w:rPr>
            </w:pPr>
          </w:p>
        </w:tc>
      </w:tr>
      <w:tr w:rsidR="00026BF6" w:rsidRPr="00CC5FE4" w14:paraId="7047EB63" w14:textId="77777777" w:rsidTr="00EA3EA4">
        <w:tc>
          <w:tcPr>
            <w:tcW w:w="720" w:type="dxa"/>
          </w:tcPr>
          <w:p w14:paraId="4A91F108" w14:textId="77777777" w:rsidR="00026BF6" w:rsidRPr="00CC5FE4" w:rsidRDefault="00E615B6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5687" w:type="dxa"/>
          </w:tcPr>
          <w:p w14:paraId="5BD89087" w14:textId="086A5488" w:rsidR="00026BF6" w:rsidRPr="00CC5FE4" w:rsidRDefault="00394D1C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Prepare a statement from the Minister/Ministry of Health to add to the website clarifying the function and purpose</w:t>
            </w:r>
            <w:r w:rsidR="00EA3EA4" w:rsidRPr="00CC5FE4">
              <w:rPr>
                <w:rFonts w:ascii="Arial" w:hAnsi="Arial" w:cs="Arial"/>
                <w:sz w:val="24"/>
              </w:rPr>
              <w:t xml:space="preserve"> of the Committee to th</w:t>
            </w:r>
            <w:r w:rsidR="00521E43" w:rsidRPr="00CC5FE4">
              <w:rPr>
                <w:rFonts w:ascii="Arial" w:hAnsi="Arial" w:cs="Arial"/>
                <w:sz w:val="24"/>
              </w:rPr>
              <w:t xml:space="preserve">e public and to set up a space </w:t>
            </w:r>
            <w:r w:rsidR="00EA3EA4" w:rsidRPr="00CC5FE4">
              <w:rPr>
                <w:rFonts w:ascii="Arial" w:hAnsi="Arial" w:cs="Arial"/>
                <w:sz w:val="24"/>
              </w:rPr>
              <w:t>for publishing the agenda and minutes.</w:t>
            </w:r>
          </w:p>
        </w:tc>
        <w:tc>
          <w:tcPr>
            <w:tcW w:w="1941" w:type="dxa"/>
          </w:tcPr>
          <w:p w14:paraId="1E2D75F8" w14:textId="77777777" w:rsidR="00026BF6" w:rsidRPr="00CC5FE4" w:rsidRDefault="00394D1C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Secretariat</w:t>
            </w:r>
          </w:p>
        </w:tc>
        <w:tc>
          <w:tcPr>
            <w:tcW w:w="1457" w:type="dxa"/>
          </w:tcPr>
          <w:p w14:paraId="51136649" w14:textId="77777777" w:rsidR="00026BF6" w:rsidRPr="00CC5FE4" w:rsidRDefault="00026BF6" w:rsidP="00026BF6">
            <w:pPr>
              <w:rPr>
                <w:rFonts w:ascii="Arial" w:hAnsi="Arial" w:cs="Arial"/>
                <w:sz w:val="24"/>
              </w:rPr>
            </w:pPr>
          </w:p>
        </w:tc>
      </w:tr>
      <w:tr w:rsidR="00026BF6" w:rsidRPr="0078532E" w14:paraId="52C13469" w14:textId="77777777" w:rsidTr="00EA3EA4">
        <w:tc>
          <w:tcPr>
            <w:tcW w:w="720" w:type="dxa"/>
          </w:tcPr>
          <w:p w14:paraId="121E3240" w14:textId="77777777" w:rsidR="00026BF6" w:rsidRPr="00CC5FE4" w:rsidRDefault="00E615B6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5687" w:type="dxa"/>
          </w:tcPr>
          <w:p w14:paraId="2B7A6957" w14:textId="77777777" w:rsidR="00026BF6" w:rsidRPr="00CC5FE4" w:rsidRDefault="00A7157B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Look at how many individuals are getting prescriptions for tramadol from multiple D</w:t>
            </w:r>
            <w:r w:rsidR="004C4308" w:rsidRPr="00CC5FE4">
              <w:rPr>
                <w:rFonts w:ascii="Arial" w:hAnsi="Arial" w:cs="Arial"/>
                <w:sz w:val="24"/>
              </w:rPr>
              <w:t>octo</w:t>
            </w:r>
            <w:r w:rsidRPr="00CC5FE4">
              <w:rPr>
                <w:rFonts w:ascii="Arial" w:hAnsi="Arial" w:cs="Arial"/>
                <w:sz w:val="24"/>
              </w:rPr>
              <w:t>rs and pharmacies as well as the number of individuals being prescribed more tha</w:t>
            </w:r>
            <w:r w:rsidR="00C62FB1" w:rsidRPr="00CC5FE4">
              <w:rPr>
                <w:rFonts w:ascii="Arial" w:hAnsi="Arial" w:cs="Arial"/>
                <w:sz w:val="24"/>
              </w:rPr>
              <w:t>n the maximum dose</w:t>
            </w:r>
            <w:r w:rsidRPr="00CC5FE4">
              <w:rPr>
                <w:rFonts w:ascii="Arial" w:hAnsi="Arial" w:cs="Arial"/>
                <w:sz w:val="24"/>
              </w:rPr>
              <w:t xml:space="preserve"> to include in the annual reporting for tramadol.</w:t>
            </w:r>
          </w:p>
        </w:tc>
        <w:tc>
          <w:tcPr>
            <w:tcW w:w="1941" w:type="dxa"/>
          </w:tcPr>
          <w:p w14:paraId="1227E8E7" w14:textId="77777777" w:rsidR="00026BF6" w:rsidRPr="0078532E" w:rsidRDefault="00A7157B" w:rsidP="00026BF6">
            <w:pPr>
              <w:rPr>
                <w:rFonts w:ascii="Arial" w:hAnsi="Arial" w:cs="Arial"/>
                <w:sz w:val="24"/>
              </w:rPr>
            </w:pPr>
            <w:r w:rsidRPr="00CC5FE4">
              <w:rPr>
                <w:rFonts w:ascii="Arial" w:hAnsi="Arial" w:cs="Arial"/>
                <w:sz w:val="24"/>
              </w:rPr>
              <w:t>Secretariat</w:t>
            </w:r>
          </w:p>
        </w:tc>
        <w:tc>
          <w:tcPr>
            <w:tcW w:w="1457" w:type="dxa"/>
          </w:tcPr>
          <w:p w14:paraId="201EA589" w14:textId="77777777" w:rsidR="00026BF6" w:rsidRPr="0078532E" w:rsidRDefault="00026BF6" w:rsidP="00026BF6">
            <w:pPr>
              <w:rPr>
                <w:rFonts w:ascii="Arial" w:hAnsi="Arial" w:cs="Arial"/>
                <w:sz w:val="24"/>
              </w:rPr>
            </w:pPr>
          </w:p>
        </w:tc>
      </w:tr>
    </w:tbl>
    <w:p w14:paraId="59049076" w14:textId="77777777" w:rsidR="007F6F56" w:rsidRPr="0078532E" w:rsidRDefault="007F6F56" w:rsidP="007F6F56">
      <w:pPr>
        <w:rPr>
          <w:rFonts w:cs="Arial"/>
        </w:rPr>
      </w:pPr>
    </w:p>
    <w:p w14:paraId="1F26E36C" w14:textId="77777777" w:rsidR="009866FE" w:rsidRPr="0078532E" w:rsidRDefault="009866FE">
      <w:pPr>
        <w:rPr>
          <w:rFonts w:cs="Arial"/>
        </w:rPr>
      </w:pPr>
    </w:p>
    <w:sectPr w:rsidR="009866FE" w:rsidRPr="0078532E" w:rsidSect="00AB5BE7">
      <w:pgSz w:w="11907" w:h="16840" w:code="9"/>
      <w:pgMar w:top="567" w:right="992" w:bottom="992" w:left="992" w:header="567" w:footer="567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75492"/>
    <w:multiLevelType w:val="hybridMultilevel"/>
    <w:tmpl w:val="7746369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D510B"/>
    <w:multiLevelType w:val="hybridMultilevel"/>
    <w:tmpl w:val="C48A81C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803A8"/>
    <w:multiLevelType w:val="hybridMultilevel"/>
    <w:tmpl w:val="E940B9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51577"/>
    <w:multiLevelType w:val="hybridMultilevel"/>
    <w:tmpl w:val="775203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D0AED"/>
    <w:multiLevelType w:val="hybridMultilevel"/>
    <w:tmpl w:val="609A5B22"/>
    <w:lvl w:ilvl="0" w:tplc="8CA2CCC6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  <w:bCs w:val="0"/>
        <w:iCs w:val="0"/>
        <w:color w:val="auto"/>
        <w:sz w:val="20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56"/>
    <w:rsid w:val="00004E1A"/>
    <w:rsid w:val="00012BDD"/>
    <w:rsid w:val="000174D1"/>
    <w:rsid w:val="000209CC"/>
    <w:rsid w:val="0002221C"/>
    <w:rsid w:val="00026BF6"/>
    <w:rsid w:val="00034D1D"/>
    <w:rsid w:val="00064733"/>
    <w:rsid w:val="00064ADC"/>
    <w:rsid w:val="00070C0D"/>
    <w:rsid w:val="00074DED"/>
    <w:rsid w:val="00095031"/>
    <w:rsid w:val="000A2788"/>
    <w:rsid w:val="000B17D6"/>
    <w:rsid w:val="000C2C6C"/>
    <w:rsid w:val="000D3FED"/>
    <w:rsid w:val="000D747C"/>
    <w:rsid w:val="000E3626"/>
    <w:rsid w:val="000E5B42"/>
    <w:rsid w:val="000F05A3"/>
    <w:rsid w:val="00114F66"/>
    <w:rsid w:val="00123A4B"/>
    <w:rsid w:val="00133D2C"/>
    <w:rsid w:val="00141F5E"/>
    <w:rsid w:val="00150121"/>
    <w:rsid w:val="0017300C"/>
    <w:rsid w:val="001739A0"/>
    <w:rsid w:val="00182C5F"/>
    <w:rsid w:val="001911D8"/>
    <w:rsid w:val="001E3B7B"/>
    <w:rsid w:val="001F3A17"/>
    <w:rsid w:val="002056F5"/>
    <w:rsid w:val="00207DE1"/>
    <w:rsid w:val="00220163"/>
    <w:rsid w:val="00223FAA"/>
    <w:rsid w:val="002263FD"/>
    <w:rsid w:val="002313C2"/>
    <w:rsid w:val="00240CC5"/>
    <w:rsid w:val="00247469"/>
    <w:rsid w:val="00250E1C"/>
    <w:rsid w:val="00252DAB"/>
    <w:rsid w:val="00257EFA"/>
    <w:rsid w:val="00276B0F"/>
    <w:rsid w:val="0028135F"/>
    <w:rsid w:val="00290DFF"/>
    <w:rsid w:val="00294147"/>
    <w:rsid w:val="00297295"/>
    <w:rsid w:val="002B5E34"/>
    <w:rsid w:val="002C2F65"/>
    <w:rsid w:val="002C350B"/>
    <w:rsid w:val="0033346F"/>
    <w:rsid w:val="00375599"/>
    <w:rsid w:val="00375FFC"/>
    <w:rsid w:val="00381CAF"/>
    <w:rsid w:val="00383E84"/>
    <w:rsid w:val="00394D1C"/>
    <w:rsid w:val="00396AF3"/>
    <w:rsid w:val="003A6159"/>
    <w:rsid w:val="003E1EBC"/>
    <w:rsid w:val="003E39D4"/>
    <w:rsid w:val="003F5AA5"/>
    <w:rsid w:val="00405D35"/>
    <w:rsid w:val="0041680F"/>
    <w:rsid w:val="00417CDF"/>
    <w:rsid w:val="00422422"/>
    <w:rsid w:val="00450F09"/>
    <w:rsid w:val="00460FDC"/>
    <w:rsid w:val="00473B69"/>
    <w:rsid w:val="00482FEA"/>
    <w:rsid w:val="004972F5"/>
    <w:rsid w:val="00497AA2"/>
    <w:rsid w:val="004C4308"/>
    <w:rsid w:val="004E6CCB"/>
    <w:rsid w:val="004F06F2"/>
    <w:rsid w:val="004F243A"/>
    <w:rsid w:val="005126D2"/>
    <w:rsid w:val="00514656"/>
    <w:rsid w:val="00520869"/>
    <w:rsid w:val="00521E43"/>
    <w:rsid w:val="005238AA"/>
    <w:rsid w:val="005247A1"/>
    <w:rsid w:val="00535B77"/>
    <w:rsid w:val="00535DFD"/>
    <w:rsid w:val="0054318F"/>
    <w:rsid w:val="00550EC6"/>
    <w:rsid w:val="00553EC9"/>
    <w:rsid w:val="00555A46"/>
    <w:rsid w:val="00563D76"/>
    <w:rsid w:val="005679CC"/>
    <w:rsid w:val="00575AFE"/>
    <w:rsid w:val="005A53B1"/>
    <w:rsid w:val="005B0080"/>
    <w:rsid w:val="005D528F"/>
    <w:rsid w:val="005E0564"/>
    <w:rsid w:val="005E2732"/>
    <w:rsid w:val="005F67FD"/>
    <w:rsid w:val="00603AA1"/>
    <w:rsid w:val="00615E74"/>
    <w:rsid w:val="0063501C"/>
    <w:rsid w:val="00646B37"/>
    <w:rsid w:val="00650622"/>
    <w:rsid w:val="0065156C"/>
    <w:rsid w:val="0065486A"/>
    <w:rsid w:val="00656108"/>
    <w:rsid w:val="00657A95"/>
    <w:rsid w:val="00676D28"/>
    <w:rsid w:val="00681707"/>
    <w:rsid w:val="006829B2"/>
    <w:rsid w:val="00686A04"/>
    <w:rsid w:val="006A21FF"/>
    <w:rsid w:val="006A5B1E"/>
    <w:rsid w:val="006B02FB"/>
    <w:rsid w:val="006D1D2A"/>
    <w:rsid w:val="006E060E"/>
    <w:rsid w:val="006E691B"/>
    <w:rsid w:val="006F2C89"/>
    <w:rsid w:val="006F3256"/>
    <w:rsid w:val="0070523E"/>
    <w:rsid w:val="007220B0"/>
    <w:rsid w:val="00744028"/>
    <w:rsid w:val="00770B4C"/>
    <w:rsid w:val="0078532E"/>
    <w:rsid w:val="007A24CA"/>
    <w:rsid w:val="007A391F"/>
    <w:rsid w:val="007A5597"/>
    <w:rsid w:val="007A5876"/>
    <w:rsid w:val="007B1CC9"/>
    <w:rsid w:val="007B6404"/>
    <w:rsid w:val="007B74DC"/>
    <w:rsid w:val="007C7748"/>
    <w:rsid w:val="007D6E80"/>
    <w:rsid w:val="007E3F2D"/>
    <w:rsid w:val="007E5FB2"/>
    <w:rsid w:val="007E7084"/>
    <w:rsid w:val="007F5C95"/>
    <w:rsid w:val="007F6F56"/>
    <w:rsid w:val="007F744A"/>
    <w:rsid w:val="00800F2E"/>
    <w:rsid w:val="0081781D"/>
    <w:rsid w:val="0084039C"/>
    <w:rsid w:val="00856217"/>
    <w:rsid w:val="008628CA"/>
    <w:rsid w:val="00872731"/>
    <w:rsid w:val="008759BA"/>
    <w:rsid w:val="0087615E"/>
    <w:rsid w:val="00895EC7"/>
    <w:rsid w:val="008C6643"/>
    <w:rsid w:val="008F608A"/>
    <w:rsid w:val="009138C8"/>
    <w:rsid w:val="00923A6E"/>
    <w:rsid w:val="009505E0"/>
    <w:rsid w:val="00955FBC"/>
    <w:rsid w:val="0096737F"/>
    <w:rsid w:val="00970D38"/>
    <w:rsid w:val="0098082F"/>
    <w:rsid w:val="009866FE"/>
    <w:rsid w:val="00993025"/>
    <w:rsid w:val="009A3E66"/>
    <w:rsid w:val="009B0EAF"/>
    <w:rsid w:val="009B47FE"/>
    <w:rsid w:val="009C7B8E"/>
    <w:rsid w:val="009E4ED5"/>
    <w:rsid w:val="00A14CD3"/>
    <w:rsid w:val="00A63608"/>
    <w:rsid w:val="00A7157B"/>
    <w:rsid w:val="00A751EF"/>
    <w:rsid w:val="00A81A82"/>
    <w:rsid w:val="00A91093"/>
    <w:rsid w:val="00AA603C"/>
    <w:rsid w:val="00AA7E28"/>
    <w:rsid w:val="00AB0DE3"/>
    <w:rsid w:val="00AB3191"/>
    <w:rsid w:val="00AB5BE7"/>
    <w:rsid w:val="00AD1A2B"/>
    <w:rsid w:val="00AD29AE"/>
    <w:rsid w:val="00AD2EBB"/>
    <w:rsid w:val="00AF2A34"/>
    <w:rsid w:val="00AF3065"/>
    <w:rsid w:val="00B05E33"/>
    <w:rsid w:val="00B21DA8"/>
    <w:rsid w:val="00B224DF"/>
    <w:rsid w:val="00B22DEB"/>
    <w:rsid w:val="00B24227"/>
    <w:rsid w:val="00B3013F"/>
    <w:rsid w:val="00B34D19"/>
    <w:rsid w:val="00B449E2"/>
    <w:rsid w:val="00B70857"/>
    <w:rsid w:val="00BB1EA0"/>
    <w:rsid w:val="00BB4FB1"/>
    <w:rsid w:val="00BB5873"/>
    <w:rsid w:val="00BC59DD"/>
    <w:rsid w:val="00BF5FE6"/>
    <w:rsid w:val="00C05BAA"/>
    <w:rsid w:val="00C20DAA"/>
    <w:rsid w:val="00C4674F"/>
    <w:rsid w:val="00C62FB1"/>
    <w:rsid w:val="00C666C5"/>
    <w:rsid w:val="00C702F9"/>
    <w:rsid w:val="00C7117E"/>
    <w:rsid w:val="00C75D3A"/>
    <w:rsid w:val="00C801BE"/>
    <w:rsid w:val="00CC5FE4"/>
    <w:rsid w:val="00CF41FC"/>
    <w:rsid w:val="00D14DF8"/>
    <w:rsid w:val="00D25A19"/>
    <w:rsid w:val="00D302D7"/>
    <w:rsid w:val="00D373EB"/>
    <w:rsid w:val="00D46AA8"/>
    <w:rsid w:val="00D53AFC"/>
    <w:rsid w:val="00D63EDD"/>
    <w:rsid w:val="00D76F3F"/>
    <w:rsid w:val="00DA1A44"/>
    <w:rsid w:val="00DB4A52"/>
    <w:rsid w:val="00DB735A"/>
    <w:rsid w:val="00DC7CB1"/>
    <w:rsid w:val="00DD1D70"/>
    <w:rsid w:val="00DD5546"/>
    <w:rsid w:val="00DD69A8"/>
    <w:rsid w:val="00DE4EF0"/>
    <w:rsid w:val="00DF6BAD"/>
    <w:rsid w:val="00E07C36"/>
    <w:rsid w:val="00E14585"/>
    <w:rsid w:val="00E36833"/>
    <w:rsid w:val="00E50553"/>
    <w:rsid w:val="00E50DA6"/>
    <w:rsid w:val="00E55D3B"/>
    <w:rsid w:val="00E615B6"/>
    <w:rsid w:val="00E731D1"/>
    <w:rsid w:val="00E84CD0"/>
    <w:rsid w:val="00E86C9E"/>
    <w:rsid w:val="00E873EA"/>
    <w:rsid w:val="00EA3D32"/>
    <w:rsid w:val="00EA3EA4"/>
    <w:rsid w:val="00EA60CA"/>
    <w:rsid w:val="00EB537C"/>
    <w:rsid w:val="00EC61F4"/>
    <w:rsid w:val="00ED1B37"/>
    <w:rsid w:val="00ED46CB"/>
    <w:rsid w:val="00ED79CC"/>
    <w:rsid w:val="00EE0E29"/>
    <w:rsid w:val="00EE11DB"/>
    <w:rsid w:val="00EE1D98"/>
    <w:rsid w:val="00EF3952"/>
    <w:rsid w:val="00F2075C"/>
    <w:rsid w:val="00F322E2"/>
    <w:rsid w:val="00F539C5"/>
    <w:rsid w:val="00F60963"/>
    <w:rsid w:val="00F671A4"/>
    <w:rsid w:val="00F7513F"/>
    <w:rsid w:val="00F86C05"/>
    <w:rsid w:val="00F94CC0"/>
    <w:rsid w:val="00F94E2F"/>
    <w:rsid w:val="00FA0DE9"/>
    <w:rsid w:val="00FA2D45"/>
    <w:rsid w:val="00FD6A7A"/>
    <w:rsid w:val="00FD6D0F"/>
    <w:rsid w:val="00FE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BA8A8"/>
  <w15:docId w15:val="{F8D23A3D-D69B-469B-B5F0-FEDA5D99A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F56"/>
    <w:pPr>
      <w:spacing w:after="0" w:line="240" w:lineRule="auto"/>
    </w:pPr>
    <w:rPr>
      <w:rFonts w:eastAsia="Times New Roman" w:cs="Times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Normal"/>
    <w:rsid w:val="007F6F56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7F6F56"/>
    <w:pPr>
      <w:ind w:left="720"/>
      <w:contextualSpacing/>
    </w:pPr>
    <w:rPr>
      <w:rFonts w:ascii="Times New Roman" w:hAnsi="Times New Roman"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56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ullet">
    <w:name w:val="Bullet"/>
    <w:basedOn w:val="Normal"/>
    <w:rsid w:val="00383E84"/>
    <w:pPr>
      <w:numPr>
        <w:numId w:val="3"/>
      </w:numPr>
      <w:spacing w:before="120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26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B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BF6"/>
    <w:rPr>
      <w:rFonts w:eastAsia="Times New Roman" w:cs="Times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BF6"/>
    <w:rPr>
      <w:rFonts w:eastAsia="Times New Roman" w:cs="Times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B36E-EC40-4B0D-9F47-6FFF64DF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8E4B44F3</Template>
  <TotalTime>1</TotalTime>
  <Pages>9</Pages>
  <Words>3917</Words>
  <Characters>22328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Minutes: Expert Advisory Committee on Drugs meeting 27 April 2016</vt:lpstr>
    </vt:vector>
  </TitlesOfParts>
  <Company>Ministry of Health</Company>
  <LinksUpToDate>false</LinksUpToDate>
  <CharactersWithSpaces>26193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Minutes: Expert Advisory Committee on Drugs meeting 27 April 2016</dc:title>
  <dc:subject/>
  <dc:creator>Ministry of Health</dc:creator>
  <cp:keywords/>
  <cp:lastModifiedBy>Ministry of Health</cp:lastModifiedBy>
  <cp:revision>2</cp:revision>
  <cp:lastPrinted>2016-08-10T20:48:00Z</cp:lastPrinted>
  <dcterms:created xsi:type="dcterms:W3CDTF">2016-09-21T21:21:00Z</dcterms:created>
  <dcterms:modified xsi:type="dcterms:W3CDTF">2016-09-21T21:21:00Z</dcterms:modified>
</cp:coreProperties>
</file>