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F56" w:rsidRDefault="007F6F56" w:rsidP="007F6F56"/>
    <w:p w:rsidR="007F6F56" w:rsidRPr="004C3841" w:rsidRDefault="007F6F56" w:rsidP="007F6F56">
      <w:pPr>
        <w:spacing w:before="120" w:after="120"/>
        <w:rPr>
          <w:rFonts w:ascii="Georgia" w:hAnsi="Georgia"/>
          <w:b/>
          <w:sz w:val="48"/>
          <w:szCs w:val="48"/>
        </w:rPr>
      </w:pPr>
      <w:r w:rsidRPr="004C3841">
        <w:rPr>
          <w:rFonts w:ascii="Georgia" w:hAnsi="Georgia"/>
          <w:b/>
          <w:sz w:val="48"/>
          <w:szCs w:val="48"/>
        </w:rPr>
        <w:t>Minutes</w:t>
      </w:r>
      <w:r w:rsidRPr="004C3841">
        <w:rPr>
          <w:rFonts w:ascii="Georgia" w:hAnsi="Georgia"/>
          <w:b/>
          <w:sz w:val="48"/>
          <w:szCs w:val="48"/>
        </w:rPr>
        <w:tab/>
      </w:r>
      <w:r w:rsidRPr="004C3841">
        <w:rPr>
          <w:rFonts w:ascii="Georgia" w:hAnsi="Georgia"/>
          <w:b/>
          <w:sz w:val="48"/>
          <w:szCs w:val="48"/>
        </w:rPr>
        <w:tab/>
      </w:r>
      <w:r w:rsidRPr="004C3841">
        <w:rPr>
          <w:rFonts w:ascii="Georgia" w:hAnsi="Georgia"/>
          <w:b/>
          <w:sz w:val="48"/>
          <w:szCs w:val="48"/>
        </w:rPr>
        <w:tab/>
      </w:r>
      <w:r w:rsidRPr="004C3841">
        <w:rPr>
          <w:rFonts w:ascii="Georgia" w:hAnsi="Georgia"/>
          <w:b/>
          <w:sz w:val="48"/>
          <w:szCs w:val="48"/>
        </w:rPr>
        <w:tab/>
      </w:r>
      <w:r w:rsidRPr="004C3841">
        <w:rPr>
          <w:rFonts w:ascii="Georgia" w:hAnsi="Georgia"/>
          <w:b/>
          <w:sz w:val="48"/>
          <w:szCs w:val="48"/>
        </w:rPr>
        <w:tab/>
      </w:r>
      <w:r w:rsidRPr="004C3841">
        <w:rPr>
          <w:rFonts w:ascii="Georgia" w:hAnsi="Georgia"/>
          <w:b/>
          <w:sz w:val="48"/>
          <w:szCs w:val="48"/>
        </w:rPr>
        <w:tab/>
      </w:r>
      <w:r w:rsidRPr="004C3841">
        <w:rPr>
          <w:rFonts w:ascii="Georgia" w:hAnsi="Georgia"/>
          <w:b/>
          <w:sz w:val="48"/>
          <w:szCs w:val="48"/>
        </w:rPr>
        <w:tab/>
      </w:r>
      <w:r w:rsidRPr="004C3841">
        <w:rPr>
          <w:rFonts w:ascii="Georgia" w:hAnsi="Georgia"/>
          <w:b/>
          <w:sz w:val="48"/>
          <w:szCs w:val="48"/>
        </w:rPr>
        <w:tab/>
      </w:r>
      <w:r w:rsidRPr="004C3841">
        <w:rPr>
          <w:rFonts w:ascii="Georgia" w:hAnsi="Georgia"/>
          <w:b/>
          <w:sz w:val="48"/>
          <w:szCs w:val="48"/>
        </w:rPr>
        <w:tab/>
      </w:r>
      <w:r w:rsidRPr="004C3841">
        <w:rPr>
          <w:noProof/>
          <w:lang w:eastAsia="en-NZ"/>
        </w:rPr>
        <w:drawing>
          <wp:inline distT="0" distB="0" distL="0" distR="0" wp14:anchorId="4531A294" wp14:editId="1C36DB77">
            <wp:extent cx="990600" cy="485775"/>
            <wp:effectExtent l="0" t="0" r="0" b="9525"/>
            <wp:docPr id="1" name="Picture 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6" cstate="print">
                      <a:extLst>
                        <a:ext uri="{28A0092B-C50C-407E-A947-70E740481C1C}">
                          <a14:useLocalDpi xmlns:a14="http://schemas.microsoft.com/office/drawing/2010/main" val="0"/>
                        </a:ext>
                      </a:extLst>
                    </a:blip>
                    <a:srcRect l="6610" t="43289" r="79724" b="11005"/>
                    <a:stretch>
                      <a:fillRect/>
                    </a:stretch>
                  </pic:blipFill>
                  <pic:spPr bwMode="auto">
                    <a:xfrm>
                      <a:off x="0" y="0"/>
                      <a:ext cx="990600" cy="485775"/>
                    </a:xfrm>
                    <a:prstGeom prst="rect">
                      <a:avLst/>
                    </a:prstGeom>
                    <a:noFill/>
                    <a:ln>
                      <a:noFill/>
                    </a:ln>
                  </pic:spPr>
                </pic:pic>
              </a:graphicData>
            </a:graphic>
          </wp:inline>
        </w:drawing>
      </w:r>
      <w:r w:rsidRPr="004C3841">
        <w:rPr>
          <w:rFonts w:ascii="Georgia" w:hAnsi="Georgia"/>
          <w:b/>
          <w:sz w:val="48"/>
          <w:szCs w:val="48"/>
        </w:rPr>
        <w:tab/>
      </w:r>
    </w:p>
    <w:p w:rsidR="007F6F56" w:rsidRPr="004C3841" w:rsidRDefault="007F6F56" w:rsidP="007F6F56">
      <w:pPr>
        <w:spacing w:before="120" w:after="120"/>
        <w:rPr>
          <w:rFonts w:ascii="Georgia" w:hAnsi="Georgia"/>
          <w:b/>
          <w:sz w:val="48"/>
          <w:szCs w:val="48"/>
        </w:rPr>
      </w:pPr>
      <w:bookmarkStart w:id="0" w:name="_GoBack"/>
      <w:r w:rsidRPr="004C3841">
        <w:rPr>
          <w:rFonts w:ascii="Georgia" w:hAnsi="Georgia"/>
          <w:b/>
          <w:sz w:val="48"/>
          <w:szCs w:val="48"/>
        </w:rPr>
        <w:t>Expert Advisory Committee on Drugs meeting</w:t>
      </w:r>
    </w:p>
    <w:tbl>
      <w:tblPr>
        <w:tblStyle w:val="TableGrid"/>
        <w:tblW w:w="10050" w:type="dxa"/>
        <w:tblInd w:w="108" w:type="dxa"/>
        <w:tblBorders>
          <w:left w:val="none" w:sz="0" w:space="0" w:color="auto"/>
          <w:right w:val="none" w:sz="0" w:space="0" w:color="auto"/>
        </w:tblBorders>
        <w:tblLayout w:type="fixed"/>
        <w:tblLook w:val="01E0" w:firstRow="1" w:lastRow="1" w:firstColumn="1" w:lastColumn="1" w:noHBand="0" w:noVBand="0"/>
      </w:tblPr>
      <w:tblGrid>
        <w:gridCol w:w="1590"/>
        <w:gridCol w:w="8460"/>
      </w:tblGrid>
      <w:tr w:rsidR="007F6F56" w:rsidRPr="004C3841" w:rsidTr="00127C00">
        <w:trPr>
          <w:cantSplit/>
        </w:trPr>
        <w:tc>
          <w:tcPr>
            <w:tcW w:w="1590" w:type="dxa"/>
            <w:tcBorders>
              <w:top w:val="single" w:sz="12" w:space="0" w:color="auto"/>
              <w:bottom w:val="single" w:sz="2" w:space="0" w:color="auto"/>
              <w:right w:val="nil"/>
            </w:tcBorders>
          </w:tcPr>
          <w:bookmarkEnd w:id="0"/>
          <w:p w:rsidR="007F6F56" w:rsidRPr="004C3841" w:rsidRDefault="007F6F56" w:rsidP="00127C00">
            <w:pPr>
              <w:pStyle w:val="TableText"/>
              <w:rPr>
                <w:rFonts w:ascii="Arial" w:hAnsi="Arial" w:cs="Arial"/>
                <w:b/>
                <w:sz w:val="24"/>
              </w:rPr>
            </w:pPr>
            <w:r w:rsidRPr="004C3841">
              <w:rPr>
                <w:rFonts w:ascii="Arial" w:hAnsi="Arial" w:cs="Arial"/>
                <w:b/>
                <w:sz w:val="24"/>
              </w:rPr>
              <w:t>Date:</w:t>
            </w:r>
          </w:p>
        </w:tc>
        <w:tc>
          <w:tcPr>
            <w:tcW w:w="8460" w:type="dxa"/>
            <w:tcBorders>
              <w:top w:val="single" w:sz="12" w:space="0" w:color="auto"/>
              <w:left w:val="nil"/>
              <w:bottom w:val="single" w:sz="2" w:space="0" w:color="auto"/>
              <w:right w:val="nil"/>
            </w:tcBorders>
          </w:tcPr>
          <w:p w:rsidR="007F6F56" w:rsidRPr="004C3841" w:rsidRDefault="007F6F56" w:rsidP="00127C00">
            <w:pPr>
              <w:pStyle w:val="TableText"/>
              <w:rPr>
                <w:rFonts w:ascii="Arial" w:hAnsi="Arial" w:cs="Arial"/>
                <w:sz w:val="24"/>
              </w:rPr>
            </w:pPr>
            <w:r w:rsidRPr="004C3841">
              <w:rPr>
                <w:rFonts w:ascii="Arial" w:hAnsi="Arial" w:cs="Arial"/>
                <w:sz w:val="24"/>
              </w:rPr>
              <w:t>Thursday 16 April 2015</w:t>
            </w:r>
          </w:p>
        </w:tc>
      </w:tr>
      <w:tr w:rsidR="007F6F56" w:rsidRPr="004C3841" w:rsidTr="00127C00">
        <w:trPr>
          <w:cantSplit/>
        </w:trPr>
        <w:tc>
          <w:tcPr>
            <w:tcW w:w="1590" w:type="dxa"/>
            <w:tcBorders>
              <w:top w:val="single" w:sz="12" w:space="0" w:color="auto"/>
              <w:bottom w:val="single" w:sz="2" w:space="0" w:color="auto"/>
              <w:right w:val="nil"/>
            </w:tcBorders>
          </w:tcPr>
          <w:p w:rsidR="007F6F56" w:rsidRPr="004C3841" w:rsidRDefault="007F6F56" w:rsidP="00127C00">
            <w:pPr>
              <w:pStyle w:val="TableText"/>
              <w:rPr>
                <w:rFonts w:ascii="Arial" w:hAnsi="Arial" w:cs="Arial"/>
                <w:b/>
                <w:sz w:val="24"/>
              </w:rPr>
            </w:pPr>
            <w:r w:rsidRPr="004C3841">
              <w:rPr>
                <w:rFonts w:ascii="Arial" w:hAnsi="Arial" w:cs="Arial"/>
                <w:b/>
                <w:sz w:val="24"/>
              </w:rPr>
              <w:t>Time:</w:t>
            </w:r>
          </w:p>
        </w:tc>
        <w:tc>
          <w:tcPr>
            <w:tcW w:w="8460" w:type="dxa"/>
            <w:tcBorders>
              <w:top w:val="single" w:sz="12" w:space="0" w:color="auto"/>
              <w:left w:val="nil"/>
              <w:bottom w:val="single" w:sz="2" w:space="0" w:color="auto"/>
              <w:right w:val="nil"/>
            </w:tcBorders>
          </w:tcPr>
          <w:p w:rsidR="007F6F56" w:rsidRPr="004C3841" w:rsidRDefault="007F6F56" w:rsidP="00127C00">
            <w:pPr>
              <w:pStyle w:val="TableText"/>
              <w:rPr>
                <w:rFonts w:ascii="Arial" w:hAnsi="Arial" w:cs="Arial"/>
                <w:sz w:val="24"/>
              </w:rPr>
            </w:pPr>
            <w:r w:rsidRPr="004C3841">
              <w:rPr>
                <w:rFonts w:ascii="Arial" w:hAnsi="Arial" w:cs="Arial"/>
                <w:sz w:val="24"/>
              </w:rPr>
              <w:t>10am - 3pm</w:t>
            </w:r>
          </w:p>
        </w:tc>
      </w:tr>
      <w:tr w:rsidR="007F6F56" w:rsidRPr="004C3841" w:rsidTr="00127C00">
        <w:trPr>
          <w:cantSplit/>
        </w:trPr>
        <w:tc>
          <w:tcPr>
            <w:tcW w:w="1590" w:type="dxa"/>
            <w:tcBorders>
              <w:top w:val="single" w:sz="12" w:space="0" w:color="auto"/>
              <w:bottom w:val="single" w:sz="2" w:space="0" w:color="auto"/>
              <w:right w:val="nil"/>
            </w:tcBorders>
          </w:tcPr>
          <w:p w:rsidR="007F6F56" w:rsidRPr="004C3841" w:rsidRDefault="007F6F56" w:rsidP="00127C00">
            <w:pPr>
              <w:pStyle w:val="TableText"/>
              <w:rPr>
                <w:rFonts w:ascii="Arial" w:hAnsi="Arial" w:cs="Arial"/>
                <w:b/>
                <w:sz w:val="24"/>
              </w:rPr>
            </w:pPr>
            <w:r w:rsidRPr="004C3841">
              <w:rPr>
                <w:rFonts w:ascii="Arial" w:hAnsi="Arial" w:cs="Arial"/>
                <w:b/>
                <w:sz w:val="24"/>
              </w:rPr>
              <w:t>Location:</w:t>
            </w:r>
          </w:p>
        </w:tc>
        <w:tc>
          <w:tcPr>
            <w:tcW w:w="8460" w:type="dxa"/>
            <w:tcBorders>
              <w:top w:val="single" w:sz="12" w:space="0" w:color="auto"/>
              <w:left w:val="nil"/>
              <w:bottom w:val="single" w:sz="2" w:space="0" w:color="auto"/>
              <w:right w:val="nil"/>
            </w:tcBorders>
          </w:tcPr>
          <w:p w:rsidR="007F6F56" w:rsidRPr="004C3841" w:rsidRDefault="007F6F56" w:rsidP="00127C00">
            <w:pPr>
              <w:pStyle w:val="TableText"/>
              <w:rPr>
                <w:rFonts w:ascii="Arial" w:hAnsi="Arial" w:cs="Arial"/>
                <w:sz w:val="24"/>
              </w:rPr>
            </w:pPr>
            <w:r w:rsidRPr="004C3841">
              <w:rPr>
                <w:rFonts w:ascii="Arial" w:hAnsi="Arial" w:cs="Arial"/>
                <w:sz w:val="24"/>
              </w:rPr>
              <w:t>Eagle Room, Miramar Links, 1 Stewart Duff Drive, Miramar</w:t>
            </w:r>
          </w:p>
        </w:tc>
      </w:tr>
      <w:tr w:rsidR="007F6F56" w:rsidRPr="004C3841" w:rsidTr="00127C00">
        <w:trPr>
          <w:cantSplit/>
        </w:trPr>
        <w:tc>
          <w:tcPr>
            <w:tcW w:w="1590" w:type="dxa"/>
            <w:tcBorders>
              <w:top w:val="single" w:sz="12" w:space="0" w:color="auto"/>
              <w:bottom w:val="single" w:sz="2" w:space="0" w:color="auto"/>
              <w:right w:val="nil"/>
            </w:tcBorders>
          </w:tcPr>
          <w:p w:rsidR="007F6F56" w:rsidRPr="004C3841" w:rsidRDefault="007F6F56" w:rsidP="00127C00">
            <w:pPr>
              <w:pStyle w:val="TableText"/>
              <w:rPr>
                <w:rFonts w:ascii="Arial" w:hAnsi="Arial" w:cs="Arial"/>
                <w:b/>
                <w:sz w:val="24"/>
              </w:rPr>
            </w:pPr>
            <w:r w:rsidRPr="004C3841">
              <w:rPr>
                <w:rFonts w:ascii="Arial" w:hAnsi="Arial" w:cs="Arial"/>
                <w:b/>
                <w:sz w:val="24"/>
              </w:rPr>
              <w:t>Acting Chair:</w:t>
            </w:r>
          </w:p>
        </w:tc>
        <w:tc>
          <w:tcPr>
            <w:tcW w:w="8460" w:type="dxa"/>
            <w:tcBorders>
              <w:top w:val="single" w:sz="12" w:space="0" w:color="auto"/>
              <w:left w:val="nil"/>
              <w:bottom w:val="single" w:sz="2" w:space="0" w:color="auto"/>
              <w:right w:val="nil"/>
            </w:tcBorders>
          </w:tcPr>
          <w:p w:rsidR="007F6F56" w:rsidRPr="004C3841" w:rsidRDefault="007F6F56" w:rsidP="00127C00">
            <w:pPr>
              <w:pStyle w:val="TableText"/>
              <w:rPr>
                <w:rFonts w:ascii="Arial" w:hAnsi="Arial" w:cs="Arial"/>
                <w:sz w:val="24"/>
              </w:rPr>
            </w:pPr>
            <w:r w:rsidRPr="004C3841">
              <w:rPr>
                <w:rFonts w:ascii="Arial" w:hAnsi="Arial" w:cs="Arial"/>
                <w:sz w:val="24"/>
              </w:rPr>
              <w:t>Dr Helen Moriarty</w:t>
            </w:r>
          </w:p>
        </w:tc>
      </w:tr>
      <w:tr w:rsidR="007F6F56" w:rsidRPr="004C3841" w:rsidTr="00127C00">
        <w:trPr>
          <w:cantSplit/>
        </w:trPr>
        <w:tc>
          <w:tcPr>
            <w:tcW w:w="1590" w:type="dxa"/>
            <w:tcBorders>
              <w:top w:val="single" w:sz="12" w:space="0" w:color="auto"/>
              <w:bottom w:val="single" w:sz="2" w:space="0" w:color="auto"/>
              <w:right w:val="nil"/>
            </w:tcBorders>
          </w:tcPr>
          <w:p w:rsidR="007F6F56" w:rsidRPr="004C3841" w:rsidRDefault="007F6F56" w:rsidP="00127C00">
            <w:pPr>
              <w:pStyle w:val="TableText"/>
              <w:ind w:right="-86"/>
              <w:rPr>
                <w:rFonts w:ascii="Arial" w:hAnsi="Arial" w:cs="Arial"/>
                <w:b/>
                <w:sz w:val="24"/>
              </w:rPr>
            </w:pPr>
            <w:r w:rsidRPr="004C3841">
              <w:rPr>
                <w:rFonts w:ascii="Arial" w:hAnsi="Arial" w:cs="Arial"/>
                <w:b/>
                <w:sz w:val="24"/>
              </w:rPr>
              <w:t>Attendees:</w:t>
            </w:r>
          </w:p>
        </w:tc>
        <w:tc>
          <w:tcPr>
            <w:tcW w:w="8460" w:type="dxa"/>
            <w:tcBorders>
              <w:top w:val="single" w:sz="12" w:space="0" w:color="auto"/>
              <w:left w:val="nil"/>
              <w:bottom w:val="single" w:sz="2" w:space="0" w:color="auto"/>
              <w:right w:val="nil"/>
            </w:tcBorders>
          </w:tcPr>
          <w:p w:rsidR="007F6F56" w:rsidRPr="004C3841" w:rsidRDefault="007F6F56" w:rsidP="00127C00">
            <w:pPr>
              <w:pStyle w:val="TableText"/>
              <w:rPr>
                <w:rFonts w:ascii="Arial" w:hAnsi="Arial" w:cs="Arial"/>
                <w:sz w:val="24"/>
              </w:rPr>
            </w:pPr>
            <w:r w:rsidRPr="004C3841">
              <w:rPr>
                <w:rFonts w:ascii="Arial" w:hAnsi="Arial" w:cs="Arial"/>
                <w:sz w:val="24"/>
              </w:rPr>
              <w:t xml:space="preserve">Committee – Dr Helen Moriarty, Detective Superintendent Gregory Williams, Dr Vicki Macfarlane, Dr Keith Bedford, Mr Christopher </w:t>
            </w:r>
            <w:proofErr w:type="spellStart"/>
            <w:r w:rsidRPr="004C3841">
              <w:rPr>
                <w:rFonts w:ascii="Arial" w:hAnsi="Arial" w:cs="Arial"/>
                <w:sz w:val="24"/>
              </w:rPr>
              <w:t>Howley</w:t>
            </w:r>
            <w:proofErr w:type="spellEnd"/>
            <w:r w:rsidRPr="004C3841">
              <w:rPr>
                <w:rFonts w:ascii="Arial" w:hAnsi="Arial" w:cs="Arial"/>
                <w:sz w:val="24"/>
              </w:rPr>
              <w:t xml:space="preserve">, Ms Lynette Knox, Dr </w:t>
            </w:r>
            <w:proofErr w:type="spellStart"/>
            <w:r w:rsidRPr="004C3841">
              <w:rPr>
                <w:rFonts w:ascii="Arial" w:hAnsi="Arial" w:cs="Arial"/>
                <w:sz w:val="24"/>
              </w:rPr>
              <w:t>Jaki</w:t>
            </w:r>
            <w:proofErr w:type="spellEnd"/>
            <w:r w:rsidRPr="004C3841">
              <w:rPr>
                <w:rFonts w:ascii="Arial" w:hAnsi="Arial" w:cs="Arial"/>
                <w:sz w:val="24"/>
              </w:rPr>
              <w:t xml:space="preserve"> Horn, Mr Richard Schmidt (on behalf of Malcolm </w:t>
            </w:r>
            <w:proofErr w:type="spellStart"/>
            <w:r w:rsidRPr="004C3841">
              <w:rPr>
                <w:rFonts w:ascii="Arial" w:hAnsi="Arial" w:cs="Arial"/>
                <w:sz w:val="24"/>
              </w:rPr>
              <w:t>Luey</w:t>
            </w:r>
            <w:proofErr w:type="spellEnd"/>
            <w:r w:rsidRPr="004C3841">
              <w:rPr>
                <w:rFonts w:ascii="Arial" w:hAnsi="Arial" w:cs="Arial"/>
                <w:sz w:val="24"/>
              </w:rPr>
              <w:t>)</w:t>
            </w:r>
          </w:p>
          <w:p w:rsidR="007F6F56" w:rsidRPr="004C3841" w:rsidRDefault="007F6F56" w:rsidP="00127C00">
            <w:pPr>
              <w:pStyle w:val="TableText"/>
              <w:rPr>
                <w:rFonts w:ascii="Arial" w:hAnsi="Arial" w:cs="Arial"/>
                <w:sz w:val="24"/>
              </w:rPr>
            </w:pPr>
            <w:r w:rsidRPr="004C3841">
              <w:rPr>
                <w:rFonts w:ascii="Arial" w:hAnsi="Arial" w:cs="Arial"/>
                <w:sz w:val="24"/>
              </w:rPr>
              <w:t>Technical Advisor – Dr Dennis Page (</w:t>
            </w:r>
            <w:proofErr w:type="spellStart"/>
            <w:r w:rsidRPr="004C3841">
              <w:rPr>
                <w:rFonts w:ascii="Arial" w:hAnsi="Arial" w:cs="Arial"/>
                <w:sz w:val="24"/>
              </w:rPr>
              <w:t>Medsafe</w:t>
            </w:r>
            <w:proofErr w:type="spellEnd"/>
            <w:r w:rsidRPr="004C3841">
              <w:rPr>
                <w:rFonts w:ascii="Arial" w:hAnsi="Arial" w:cs="Arial"/>
                <w:sz w:val="24"/>
              </w:rPr>
              <w:t>)</w:t>
            </w:r>
          </w:p>
          <w:p w:rsidR="007F6F56" w:rsidRPr="004C3841" w:rsidRDefault="007F6F56" w:rsidP="00127C00">
            <w:pPr>
              <w:pStyle w:val="TableText"/>
              <w:rPr>
                <w:rFonts w:ascii="Arial" w:hAnsi="Arial" w:cs="Arial"/>
                <w:sz w:val="24"/>
              </w:rPr>
            </w:pPr>
            <w:r w:rsidRPr="004C3841">
              <w:rPr>
                <w:rFonts w:ascii="Arial" w:hAnsi="Arial" w:cs="Arial"/>
                <w:sz w:val="24"/>
              </w:rPr>
              <w:t xml:space="preserve">Secretariat – Alison </w:t>
            </w:r>
            <w:proofErr w:type="spellStart"/>
            <w:r w:rsidRPr="004C3841">
              <w:rPr>
                <w:rFonts w:ascii="Arial" w:hAnsi="Arial" w:cs="Arial"/>
                <w:sz w:val="24"/>
              </w:rPr>
              <w:t>Cossar</w:t>
            </w:r>
            <w:proofErr w:type="spellEnd"/>
            <w:r w:rsidRPr="004C3841">
              <w:rPr>
                <w:rFonts w:ascii="Arial" w:hAnsi="Arial" w:cs="Arial"/>
                <w:sz w:val="24"/>
              </w:rPr>
              <w:t xml:space="preserve">, Haley </w:t>
            </w:r>
            <w:proofErr w:type="spellStart"/>
            <w:r w:rsidRPr="004C3841">
              <w:rPr>
                <w:rFonts w:ascii="Arial" w:hAnsi="Arial" w:cs="Arial"/>
                <w:sz w:val="24"/>
              </w:rPr>
              <w:t>Ataera</w:t>
            </w:r>
            <w:proofErr w:type="spellEnd"/>
            <w:r w:rsidRPr="004C3841">
              <w:rPr>
                <w:rFonts w:ascii="Arial" w:hAnsi="Arial" w:cs="Arial"/>
                <w:sz w:val="24"/>
              </w:rPr>
              <w:t>, Sarah Condon, Cherish Low (minutes)</w:t>
            </w:r>
          </w:p>
          <w:p w:rsidR="007F6F56" w:rsidRPr="004C3841" w:rsidRDefault="007F6F56" w:rsidP="00127C00">
            <w:pPr>
              <w:pStyle w:val="TableText"/>
              <w:rPr>
                <w:rFonts w:ascii="Arial" w:hAnsi="Arial" w:cs="Arial"/>
                <w:sz w:val="24"/>
              </w:rPr>
            </w:pPr>
            <w:r w:rsidRPr="004C3841">
              <w:rPr>
                <w:rFonts w:ascii="Arial" w:hAnsi="Arial" w:cs="Arial"/>
                <w:sz w:val="24"/>
              </w:rPr>
              <w:t>Observer – Fraser Colson (Office of the Psychoactive Substances Regulatory Authority)</w:t>
            </w:r>
          </w:p>
        </w:tc>
      </w:tr>
      <w:tr w:rsidR="007F6F56" w:rsidRPr="004C3841" w:rsidTr="00127C00">
        <w:trPr>
          <w:cantSplit/>
        </w:trPr>
        <w:tc>
          <w:tcPr>
            <w:tcW w:w="1590" w:type="dxa"/>
            <w:tcBorders>
              <w:top w:val="single" w:sz="12" w:space="0" w:color="auto"/>
              <w:bottom w:val="single" w:sz="2" w:space="0" w:color="auto"/>
              <w:right w:val="nil"/>
            </w:tcBorders>
          </w:tcPr>
          <w:p w:rsidR="007F6F56" w:rsidRPr="004C3841" w:rsidRDefault="007F6F56" w:rsidP="00127C00">
            <w:pPr>
              <w:pStyle w:val="TableText"/>
              <w:rPr>
                <w:rFonts w:ascii="Arial" w:hAnsi="Arial" w:cs="Arial"/>
                <w:b/>
                <w:sz w:val="24"/>
              </w:rPr>
            </w:pPr>
            <w:r w:rsidRPr="004C3841">
              <w:rPr>
                <w:rFonts w:ascii="Arial" w:hAnsi="Arial" w:cs="Arial"/>
                <w:b/>
                <w:sz w:val="24"/>
              </w:rPr>
              <w:t>Apologies:</w:t>
            </w:r>
          </w:p>
        </w:tc>
        <w:tc>
          <w:tcPr>
            <w:tcW w:w="8460" w:type="dxa"/>
            <w:tcBorders>
              <w:top w:val="single" w:sz="12" w:space="0" w:color="auto"/>
              <w:left w:val="nil"/>
              <w:bottom w:val="single" w:sz="2" w:space="0" w:color="auto"/>
              <w:right w:val="nil"/>
            </w:tcBorders>
          </w:tcPr>
          <w:p w:rsidR="007F6F56" w:rsidRPr="004C3841" w:rsidRDefault="007F6F56" w:rsidP="00127C00">
            <w:pPr>
              <w:pStyle w:val="TableText"/>
              <w:rPr>
                <w:rFonts w:ascii="Arial" w:hAnsi="Arial" w:cs="Arial"/>
                <w:sz w:val="24"/>
              </w:rPr>
            </w:pPr>
            <w:r w:rsidRPr="004C3841">
              <w:rPr>
                <w:rFonts w:ascii="Arial" w:hAnsi="Arial" w:cs="Arial"/>
                <w:sz w:val="24"/>
              </w:rPr>
              <w:t xml:space="preserve">Associate Professor Cynthia Darlington, Dr Stewart </w:t>
            </w:r>
            <w:proofErr w:type="spellStart"/>
            <w:r w:rsidRPr="004C3841">
              <w:rPr>
                <w:rFonts w:ascii="Arial" w:hAnsi="Arial" w:cs="Arial"/>
                <w:sz w:val="24"/>
              </w:rPr>
              <w:t>Jessamine</w:t>
            </w:r>
            <w:proofErr w:type="spellEnd"/>
            <w:r w:rsidRPr="004C3841">
              <w:rPr>
                <w:rFonts w:ascii="Arial" w:hAnsi="Arial" w:cs="Arial"/>
                <w:sz w:val="24"/>
              </w:rPr>
              <w:t xml:space="preserve">, Mr Malcolm </w:t>
            </w:r>
            <w:proofErr w:type="spellStart"/>
            <w:r w:rsidRPr="004C3841">
              <w:rPr>
                <w:rFonts w:ascii="Arial" w:hAnsi="Arial" w:cs="Arial"/>
                <w:sz w:val="24"/>
              </w:rPr>
              <w:t>Luey</w:t>
            </w:r>
            <w:proofErr w:type="spellEnd"/>
            <w:r w:rsidRPr="004C3841">
              <w:rPr>
                <w:rFonts w:ascii="Arial" w:hAnsi="Arial" w:cs="Arial"/>
                <w:sz w:val="24"/>
              </w:rPr>
              <w:t>, Dr Darren Hunt</w:t>
            </w:r>
          </w:p>
        </w:tc>
      </w:tr>
    </w:tbl>
    <w:p w:rsidR="007F6F56" w:rsidRPr="004C3841" w:rsidRDefault="007F6F56" w:rsidP="007F6F56">
      <w:pPr>
        <w:rPr>
          <w:rFonts w:cs="Arial"/>
        </w:rPr>
      </w:pPr>
    </w:p>
    <w:tbl>
      <w:tblPr>
        <w:tblStyle w:val="TableGrid"/>
        <w:tblW w:w="0" w:type="auto"/>
        <w:tblInd w:w="108" w:type="dxa"/>
        <w:tblLook w:val="01E0" w:firstRow="1" w:lastRow="1" w:firstColumn="1" w:lastColumn="1" w:noHBand="0" w:noVBand="0"/>
      </w:tblPr>
      <w:tblGrid>
        <w:gridCol w:w="720"/>
        <w:gridCol w:w="9085"/>
      </w:tblGrid>
      <w:tr w:rsidR="007F6F56" w:rsidRPr="004C3841" w:rsidTr="00127C00">
        <w:tc>
          <w:tcPr>
            <w:tcW w:w="720" w:type="dxa"/>
          </w:tcPr>
          <w:p w:rsidR="007F6F56" w:rsidRPr="004C3841" w:rsidRDefault="007F6F56" w:rsidP="00127C00">
            <w:pPr>
              <w:tabs>
                <w:tab w:val="right" w:leader="underscore" w:pos="5670"/>
                <w:tab w:val="left" w:pos="6237"/>
              </w:tabs>
              <w:rPr>
                <w:rFonts w:ascii="Arial" w:hAnsi="Arial" w:cs="Arial"/>
                <w:b/>
                <w:sz w:val="24"/>
              </w:rPr>
            </w:pPr>
            <w:r w:rsidRPr="004C3841">
              <w:rPr>
                <w:rFonts w:ascii="Arial" w:hAnsi="Arial" w:cs="Arial"/>
                <w:b/>
                <w:sz w:val="24"/>
              </w:rPr>
              <w:t>Item</w:t>
            </w:r>
          </w:p>
        </w:tc>
        <w:tc>
          <w:tcPr>
            <w:tcW w:w="9180" w:type="dxa"/>
          </w:tcPr>
          <w:p w:rsidR="007F6F56" w:rsidRPr="004C3841" w:rsidRDefault="007F6F56" w:rsidP="00127C00">
            <w:pPr>
              <w:tabs>
                <w:tab w:val="right" w:leader="underscore" w:pos="5670"/>
                <w:tab w:val="left" w:pos="6237"/>
              </w:tabs>
              <w:rPr>
                <w:rFonts w:ascii="Arial" w:hAnsi="Arial" w:cs="Arial"/>
                <w:b/>
                <w:sz w:val="24"/>
              </w:rPr>
            </w:pPr>
            <w:r w:rsidRPr="004C3841">
              <w:rPr>
                <w:rFonts w:ascii="Arial" w:hAnsi="Arial" w:cs="Arial"/>
                <w:b/>
                <w:sz w:val="24"/>
              </w:rPr>
              <w:t>Notes</w:t>
            </w:r>
          </w:p>
        </w:tc>
      </w:tr>
      <w:tr w:rsidR="007F6F56" w:rsidRPr="004C3841" w:rsidTr="00127C00">
        <w:tc>
          <w:tcPr>
            <w:tcW w:w="720" w:type="dxa"/>
          </w:tcPr>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1</w:t>
            </w:r>
          </w:p>
        </w:tc>
        <w:tc>
          <w:tcPr>
            <w:tcW w:w="9180" w:type="dxa"/>
          </w:tcPr>
          <w:p w:rsidR="007F6F56" w:rsidRPr="004C3841" w:rsidRDefault="007F6F56" w:rsidP="00127C00">
            <w:pPr>
              <w:rPr>
                <w:rFonts w:ascii="Arial" w:hAnsi="Arial" w:cs="Arial"/>
                <w:b/>
                <w:sz w:val="24"/>
              </w:rPr>
            </w:pPr>
            <w:r w:rsidRPr="004C3841">
              <w:rPr>
                <w:rFonts w:ascii="Arial" w:hAnsi="Arial" w:cs="Arial"/>
                <w:b/>
                <w:sz w:val="24"/>
              </w:rPr>
              <w:t>Welcome, Introductions and apologies</w:t>
            </w:r>
          </w:p>
          <w:p w:rsidR="007F6F56" w:rsidRPr="004C3841" w:rsidRDefault="007F6F56" w:rsidP="00127C00">
            <w:pPr>
              <w:rPr>
                <w:rFonts w:ascii="Arial" w:hAnsi="Arial" w:cs="Arial"/>
                <w:sz w:val="24"/>
              </w:rPr>
            </w:pPr>
            <w:r w:rsidRPr="004C3841">
              <w:rPr>
                <w:rFonts w:ascii="Arial" w:hAnsi="Arial" w:cs="Arial"/>
                <w:sz w:val="24"/>
              </w:rPr>
              <w:t xml:space="preserve">The Secretariat advised that the Chair (Associate Professor Cynthia Darlington) was unable to attend the meeting due to the cancellation of her flight. In accordance with the Committee handbook, </w:t>
            </w:r>
            <w:r w:rsidR="0089272C">
              <w:rPr>
                <w:rFonts w:ascii="Arial" w:hAnsi="Arial" w:cs="Arial"/>
                <w:sz w:val="24"/>
              </w:rPr>
              <w:t xml:space="preserve">Dr Helen Moriarty </w:t>
            </w:r>
            <w:r w:rsidRPr="004C3841">
              <w:rPr>
                <w:rFonts w:ascii="Arial" w:hAnsi="Arial" w:cs="Arial"/>
                <w:sz w:val="24"/>
              </w:rPr>
              <w:t>was nominated by the Chair to chair the meeting which was accepted by the rest of the Committee.</w:t>
            </w:r>
          </w:p>
          <w:p w:rsidR="007F6F56" w:rsidRPr="004C3841" w:rsidRDefault="007F6F56" w:rsidP="00127C00">
            <w:pPr>
              <w:rPr>
                <w:rFonts w:ascii="Arial" w:hAnsi="Arial" w:cs="Arial"/>
                <w:sz w:val="24"/>
              </w:rPr>
            </w:pPr>
          </w:p>
          <w:p w:rsidR="007F6F56" w:rsidRPr="004C3841" w:rsidRDefault="007F6F56" w:rsidP="00127C00">
            <w:pPr>
              <w:rPr>
                <w:rFonts w:ascii="Arial" w:hAnsi="Arial" w:cs="Arial"/>
                <w:sz w:val="24"/>
              </w:rPr>
            </w:pPr>
            <w:r w:rsidRPr="004C3841">
              <w:rPr>
                <w:rFonts w:ascii="Arial" w:hAnsi="Arial" w:cs="Arial"/>
                <w:sz w:val="24"/>
              </w:rPr>
              <w:t>The Committee and Secretariat introduced themselves and their areas of expertise.</w:t>
            </w:r>
          </w:p>
          <w:p w:rsidR="007F6F56" w:rsidRPr="004C3841" w:rsidRDefault="007F6F56" w:rsidP="00127C00">
            <w:pPr>
              <w:rPr>
                <w:rFonts w:ascii="Arial" w:hAnsi="Arial" w:cs="Arial"/>
                <w:sz w:val="24"/>
              </w:rPr>
            </w:pPr>
          </w:p>
          <w:p w:rsidR="007F6F56" w:rsidRPr="004C3841" w:rsidRDefault="007F6F56" w:rsidP="00127C00">
            <w:pPr>
              <w:rPr>
                <w:rFonts w:ascii="Arial" w:hAnsi="Arial" w:cs="Arial"/>
                <w:sz w:val="24"/>
              </w:rPr>
            </w:pPr>
            <w:r w:rsidRPr="004C3841">
              <w:rPr>
                <w:rFonts w:ascii="Arial" w:hAnsi="Arial" w:cs="Arial"/>
                <w:sz w:val="24"/>
              </w:rPr>
              <w:t xml:space="preserve">The Secretariat nominated </w:t>
            </w:r>
            <w:r w:rsidR="004C7B7A" w:rsidRPr="004C3841">
              <w:rPr>
                <w:rFonts w:ascii="Arial" w:hAnsi="Arial" w:cs="Arial"/>
                <w:sz w:val="24"/>
              </w:rPr>
              <w:t>[redacted]</w:t>
            </w:r>
            <w:r w:rsidRPr="004C3841">
              <w:rPr>
                <w:rFonts w:ascii="Arial" w:hAnsi="Arial" w:cs="Arial"/>
                <w:sz w:val="24"/>
              </w:rPr>
              <w:t xml:space="preserve"> from </w:t>
            </w:r>
            <w:proofErr w:type="spellStart"/>
            <w:r w:rsidRPr="004C3841">
              <w:rPr>
                <w:rFonts w:ascii="Arial" w:hAnsi="Arial" w:cs="Arial"/>
                <w:sz w:val="24"/>
              </w:rPr>
              <w:t>Medsafe</w:t>
            </w:r>
            <w:proofErr w:type="spellEnd"/>
            <w:r w:rsidRPr="004C3841">
              <w:rPr>
                <w:rFonts w:ascii="Arial" w:hAnsi="Arial" w:cs="Arial"/>
                <w:sz w:val="24"/>
              </w:rPr>
              <w:t xml:space="preserve"> to attend the meeting as a technical advisor for the discussion on analogue and precursor provisions.</w:t>
            </w:r>
          </w:p>
          <w:p w:rsidR="007F6F56" w:rsidRPr="004C3841" w:rsidRDefault="007F6F56" w:rsidP="00127C00">
            <w:pPr>
              <w:rPr>
                <w:rFonts w:ascii="Arial" w:hAnsi="Arial" w:cs="Arial"/>
                <w:sz w:val="24"/>
              </w:rPr>
            </w:pPr>
          </w:p>
          <w:p w:rsidR="007F6F56" w:rsidRPr="004C3841" w:rsidRDefault="007F6F56" w:rsidP="00127C00">
            <w:pPr>
              <w:pStyle w:val="ListParagraph"/>
              <w:ind w:left="0"/>
              <w:rPr>
                <w:rFonts w:ascii="Arial" w:hAnsi="Arial" w:cs="Arial"/>
                <w:sz w:val="24"/>
              </w:rPr>
            </w:pPr>
            <w:r w:rsidRPr="004C3841">
              <w:rPr>
                <w:rFonts w:ascii="Arial" w:hAnsi="Arial" w:cs="Arial"/>
                <w:sz w:val="24"/>
              </w:rPr>
              <w:t xml:space="preserve">Apologies were received from Dr Stewart Jessamine, Associate Professor Cynthia Darlington, Dr Darren Hunt and Malcolm </w:t>
            </w:r>
            <w:proofErr w:type="spellStart"/>
            <w:r w:rsidRPr="004C3841">
              <w:rPr>
                <w:rFonts w:ascii="Arial" w:hAnsi="Arial" w:cs="Arial"/>
                <w:sz w:val="24"/>
              </w:rPr>
              <w:t>Luey</w:t>
            </w:r>
            <w:proofErr w:type="spellEnd"/>
            <w:r w:rsidRPr="004C3841">
              <w:rPr>
                <w:rFonts w:ascii="Arial" w:hAnsi="Arial" w:cs="Arial"/>
                <w:sz w:val="24"/>
              </w:rPr>
              <w:t xml:space="preserve"> who is currently on secondment. </w:t>
            </w:r>
            <w:r w:rsidR="00BC391B" w:rsidRPr="004C3841">
              <w:rPr>
                <w:rFonts w:ascii="Arial" w:hAnsi="Arial" w:cs="Arial"/>
                <w:sz w:val="24"/>
              </w:rPr>
              <w:t>[</w:t>
            </w:r>
            <w:proofErr w:type="gramStart"/>
            <w:r w:rsidR="00BC391B" w:rsidRPr="004C3841">
              <w:rPr>
                <w:rFonts w:ascii="Arial" w:hAnsi="Arial" w:cs="Arial"/>
                <w:sz w:val="24"/>
              </w:rPr>
              <w:t>redacted</w:t>
            </w:r>
            <w:proofErr w:type="gramEnd"/>
            <w:r w:rsidR="00BC391B" w:rsidRPr="004C3841">
              <w:rPr>
                <w:rFonts w:ascii="Arial" w:hAnsi="Arial" w:cs="Arial"/>
                <w:sz w:val="24"/>
              </w:rPr>
              <w:t xml:space="preserve">] </w:t>
            </w:r>
            <w:r w:rsidRPr="004C3841">
              <w:rPr>
                <w:rFonts w:ascii="Arial" w:hAnsi="Arial" w:cs="Arial"/>
                <w:sz w:val="24"/>
              </w:rPr>
              <w:t xml:space="preserve">from the Ministry of Justice attended on behalf of Malcolm </w:t>
            </w:r>
            <w:proofErr w:type="spellStart"/>
            <w:r w:rsidRPr="004C3841">
              <w:rPr>
                <w:rFonts w:ascii="Arial" w:hAnsi="Arial" w:cs="Arial"/>
                <w:sz w:val="24"/>
              </w:rPr>
              <w:t>Luey</w:t>
            </w:r>
            <w:proofErr w:type="spellEnd"/>
            <w:r w:rsidRPr="004C3841">
              <w:rPr>
                <w:rFonts w:ascii="Arial" w:hAnsi="Arial" w:cs="Arial"/>
                <w:sz w:val="24"/>
              </w:rPr>
              <w:t>.</w:t>
            </w:r>
          </w:p>
          <w:p w:rsidR="007F6F56" w:rsidRPr="004C3841" w:rsidRDefault="007F6F56" w:rsidP="00127C00">
            <w:pPr>
              <w:pStyle w:val="ListParagraph"/>
              <w:ind w:left="0"/>
              <w:rPr>
                <w:rFonts w:ascii="Arial" w:hAnsi="Arial" w:cs="Arial"/>
                <w:sz w:val="24"/>
              </w:rPr>
            </w:pPr>
          </w:p>
        </w:tc>
      </w:tr>
      <w:tr w:rsidR="007F6F56" w:rsidRPr="004C3841" w:rsidTr="00127C00">
        <w:tc>
          <w:tcPr>
            <w:tcW w:w="720" w:type="dxa"/>
          </w:tcPr>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2</w:t>
            </w:r>
          </w:p>
        </w:tc>
        <w:tc>
          <w:tcPr>
            <w:tcW w:w="9180" w:type="dxa"/>
          </w:tcPr>
          <w:p w:rsidR="007F6F56" w:rsidRPr="004C3841" w:rsidRDefault="007F6F56" w:rsidP="00127C00">
            <w:pPr>
              <w:rPr>
                <w:rFonts w:ascii="Arial" w:hAnsi="Arial" w:cs="Arial"/>
                <w:b/>
                <w:sz w:val="24"/>
              </w:rPr>
            </w:pPr>
            <w:r w:rsidRPr="004C3841">
              <w:rPr>
                <w:rFonts w:ascii="Arial" w:hAnsi="Arial" w:cs="Arial"/>
                <w:b/>
                <w:sz w:val="24"/>
              </w:rPr>
              <w:t>Conflicts of interest</w:t>
            </w:r>
          </w:p>
          <w:p w:rsidR="007F6F56" w:rsidRPr="004C3841" w:rsidRDefault="007F6F56" w:rsidP="00127C00">
            <w:pPr>
              <w:rPr>
                <w:rFonts w:ascii="Arial" w:hAnsi="Arial" w:cs="Arial"/>
                <w:sz w:val="24"/>
              </w:rPr>
            </w:pPr>
            <w:r w:rsidRPr="004C3841">
              <w:rPr>
                <w:rFonts w:ascii="Arial" w:hAnsi="Arial" w:cs="Arial"/>
                <w:sz w:val="24"/>
              </w:rPr>
              <w:t xml:space="preserve">A conflict of interest declaration was submitted by </w:t>
            </w:r>
            <w:r w:rsidR="00BC391B" w:rsidRPr="004C3841">
              <w:rPr>
                <w:rFonts w:ascii="Arial" w:hAnsi="Arial" w:cs="Arial"/>
                <w:sz w:val="24"/>
              </w:rPr>
              <w:t>[redacted]</w:t>
            </w:r>
            <w:r w:rsidRPr="004C3841">
              <w:rPr>
                <w:rFonts w:ascii="Arial" w:hAnsi="Arial" w:cs="Arial"/>
                <w:sz w:val="24"/>
              </w:rPr>
              <w:t>.</w:t>
            </w:r>
          </w:p>
          <w:p w:rsidR="007F6F56" w:rsidRPr="004C3841" w:rsidRDefault="007F6F56" w:rsidP="00127C00">
            <w:pPr>
              <w:rPr>
                <w:rFonts w:ascii="Arial" w:hAnsi="Arial" w:cs="Arial"/>
                <w:sz w:val="24"/>
              </w:rPr>
            </w:pPr>
          </w:p>
          <w:p w:rsidR="007F6F56" w:rsidRPr="004C3841" w:rsidRDefault="007F6F56" w:rsidP="00127C00">
            <w:pPr>
              <w:rPr>
                <w:rFonts w:ascii="Arial" w:hAnsi="Arial" w:cs="Arial"/>
                <w:sz w:val="24"/>
              </w:rPr>
            </w:pPr>
            <w:r w:rsidRPr="004C3841">
              <w:rPr>
                <w:rFonts w:ascii="Arial" w:hAnsi="Arial" w:cs="Arial"/>
                <w:sz w:val="24"/>
              </w:rPr>
              <w:lastRenderedPageBreak/>
              <w:t xml:space="preserve">Conflicts of interests only apply to Committee members but his conflict was duly noted. As a non-committee member, the impact of </w:t>
            </w:r>
            <w:r w:rsidR="00BC391B" w:rsidRPr="004C3841">
              <w:rPr>
                <w:rFonts w:ascii="Arial" w:hAnsi="Arial" w:cs="Arial"/>
                <w:sz w:val="24"/>
              </w:rPr>
              <w:t>[redacted</w:t>
            </w:r>
            <w:proofErr w:type="gramStart"/>
            <w:r w:rsidR="00BC391B" w:rsidRPr="004C3841">
              <w:rPr>
                <w:rFonts w:ascii="Arial" w:hAnsi="Arial" w:cs="Arial"/>
                <w:sz w:val="24"/>
              </w:rPr>
              <w:t>]</w:t>
            </w:r>
            <w:r w:rsidRPr="004C3841">
              <w:rPr>
                <w:rFonts w:ascii="Arial" w:hAnsi="Arial" w:cs="Arial"/>
                <w:sz w:val="24"/>
              </w:rPr>
              <w:t>conflict</w:t>
            </w:r>
            <w:proofErr w:type="gramEnd"/>
            <w:r w:rsidRPr="004C3841">
              <w:rPr>
                <w:rFonts w:ascii="Arial" w:hAnsi="Arial" w:cs="Arial"/>
                <w:sz w:val="24"/>
              </w:rPr>
              <w:t xml:space="preserve"> is likely to be minimal because he has no voting rights.</w:t>
            </w:r>
          </w:p>
          <w:p w:rsidR="007F6F56" w:rsidRPr="004C3841" w:rsidRDefault="007F6F56" w:rsidP="00127C00">
            <w:pPr>
              <w:rPr>
                <w:rFonts w:ascii="Arial" w:hAnsi="Arial" w:cs="Arial"/>
                <w:sz w:val="24"/>
              </w:rPr>
            </w:pPr>
          </w:p>
        </w:tc>
      </w:tr>
      <w:tr w:rsidR="007F6F56" w:rsidRPr="004C3841" w:rsidTr="00127C00">
        <w:tc>
          <w:tcPr>
            <w:tcW w:w="720" w:type="dxa"/>
          </w:tcPr>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lastRenderedPageBreak/>
              <w:t>3</w:t>
            </w:r>
          </w:p>
        </w:tc>
        <w:tc>
          <w:tcPr>
            <w:tcW w:w="9180" w:type="dxa"/>
          </w:tcPr>
          <w:p w:rsidR="007F6F56" w:rsidRPr="004C3841" w:rsidRDefault="007F6F56" w:rsidP="00127C00">
            <w:pPr>
              <w:rPr>
                <w:rFonts w:ascii="Arial" w:hAnsi="Arial" w:cs="Arial"/>
                <w:b/>
                <w:sz w:val="24"/>
              </w:rPr>
            </w:pPr>
            <w:r w:rsidRPr="004C3841">
              <w:rPr>
                <w:rFonts w:ascii="Arial" w:hAnsi="Arial" w:cs="Arial"/>
                <w:b/>
                <w:sz w:val="24"/>
              </w:rPr>
              <w:t>Confirmation of previous minutes</w:t>
            </w:r>
          </w:p>
          <w:p w:rsidR="007F6F56" w:rsidRPr="004C3841" w:rsidRDefault="007F6F56" w:rsidP="00127C00">
            <w:pPr>
              <w:rPr>
                <w:rFonts w:ascii="Arial" w:hAnsi="Arial" w:cs="Arial"/>
                <w:sz w:val="24"/>
              </w:rPr>
            </w:pPr>
            <w:r w:rsidRPr="004C3841">
              <w:rPr>
                <w:rFonts w:ascii="Arial" w:hAnsi="Arial" w:cs="Arial"/>
                <w:sz w:val="24"/>
              </w:rPr>
              <w:t>It was noted that the Secretariat had added an amendment to the previous minutes clarifying the process for categorising DMAA as a medicine.</w:t>
            </w:r>
          </w:p>
          <w:p w:rsidR="007F6F56" w:rsidRPr="004C3841" w:rsidRDefault="007F6F56" w:rsidP="00127C00">
            <w:pPr>
              <w:rPr>
                <w:rFonts w:ascii="Arial" w:hAnsi="Arial" w:cs="Arial"/>
                <w:sz w:val="24"/>
              </w:rPr>
            </w:pPr>
          </w:p>
          <w:p w:rsidR="007F6F56" w:rsidRPr="004C3841" w:rsidRDefault="007F6F56" w:rsidP="00127C00">
            <w:pPr>
              <w:rPr>
                <w:rFonts w:ascii="Arial" w:hAnsi="Arial" w:cs="Arial"/>
                <w:sz w:val="24"/>
              </w:rPr>
            </w:pPr>
            <w:r w:rsidRPr="004C3841">
              <w:rPr>
                <w:rFonts w:ascii="Arial" w:hAnsi="Arial" w:cs="Arial"/>
                <w:b/>
                <w:sz w:val="24"/>
              </w:rPr>
              <w:t>Outcome</w:t>
            </w:r>
            <w:r w:rsidRPr="004C3841">
              <w:rPr>
                <w:rFonts w:ascii="Arial" w:hAnsi="Arial" w:cs="Arial"/>
                <w:sz w:val="24"/>
              </w:rPr>
              <w:t xml:space="preserve">: It was moved by </w:t>
            </w:r>
            <w:r w:rsidR="004C7B7A" w:rsidRPr="004C3841">
              <w:rPr>
                <w:rFonts w:ascii="Arial" w:hAnsi="Arial" w:cs="Arial"/>
                <w:sz w:val="24"/>
              </w:rPr>
              <w:t>[redacted]</w:t>
            </w:r>
            <w:r w:rsidRPr="004C3841">
              <w:rPr>
                <w:rFonts w:ascii="Arial" w:hAnsi="Arial" w:cs="Arial"/>
                <w:sz w:val="24"/>
              </w:rPr>
              <w:t xml:space="preserve"> that the minutes of the previous meeting be accepted which was seconded by </w:t>
            </w:r>
            <w:r w:rsidR="004C7B7A" w:rsidRPr="004C3841">
              <w:rPr>
                <w:rFonts w:ascii="Arial" w:hAnsi="Arial" w:cs="Arial"/>
                <w:sz w:val="24"/>
              </w:rPr>
              <w:t>[redacted].</w:t>
            </w:r>
          </w:p>
          <w:p w:rsidR="007F6F56" w:rsidRPr="004C3841" w:rsidRDefault="007F6F56" w:rsidP="00127C00">
            <w:pPr>
              <w:rPr>
                <w:rFonts w:ascii="Arial" w:hAnsi="Arial" w:cs="Arial"/>
                <w:sz w:val="24"/>
              </w:rPr>
            </w:pPr>
          </w:p>
        </w:tc>
      </w:tr>
      <w:tr w:rsidR="007F6F56" w:rsidRPr="004C3841" w:rsidTr="00127C00">
        <w:tc>
          <w:tcPr>
            <w:tcW w:w="720" w:type="dxa"/>
          </w:tcPr>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4</w:t>
            </w:r>
          </w:p>
        </w:tc>
        <w:tc>
          <w:tcPr>
            <w:tcW w:w="9180" w:type="dxa"/>
          </w:tcPr>
          <w:p w:rsidR="007F6F56" w:rsidRPr="004C3841" w:rsidRDefault="007F6F56" w:rsidP="00127C00">
            <w:pPr>
              <w:rPr>
                <w:rFonts w:ascii="Arial" w:hAnsi="Arial" w:cs="Arial"/>
                <w:b/>
                <w:sz w:val="24"/>
              </w:rPr>
            </w:pPr>
            <w:r w:rsidRPr="004C3841">
              <w:rPr>
                <w:rFonts w:ascii="Arial" w:hAnsi="Arial" w:cs="Arial"/>
                <w:b/>
                <w:sz w:val="24"/>
              </w:rPr>
              <w:t>Terms of reference</w:t>
            </w:r>
          </w:p>
          <w:p w:rsidR="007F6F56" w:rsidRPr="004C3841" w:rsidRDefault="007F6F56" w:rsidP="00127C00">
            <w:pPr>
              <w:rPr>
                <w:rFonts w:ascii="Arial" w:hAnsi="Arial" w:cs="Arial"/>
                <w:sz w:val="24"/>
              </w:rPr>
            </w:pPr>
            <w:r w:rsidRPr="004C3841">
              <w:rPr>
                <w:rFonts w:ascii="Arial" w:hAnsi="Arial" w:cs="Arial"/>
                <w:sz w:val="24"/>
              </w:rPr>
              <w:t xml:space="preserve">There were no comments made in regard to the Secretariat’s amendments to the Terms of Reference. </w:t>
            </w:r>
          </w:p>
          <w:p w:rsidR="007F6F56" w:rsidRPr="004C3841" w:rsidRDefault="007F6F56" w:rsidP="00127C00">
            <w:pPr>
              <w:rPr>
                <w:rFonts w:ascii="Arial" w:hAnsi="Arial" w:cs="Arial"/>
                <w:sz w:val="24"/>
              </w:rPr>
            </w:pPr>
          </w:p>
          <w:p w:rsidR="007F6F56" w:rsidRPr="004C3841" w:rsidRDefault="007F6F56" w:rsidP="00127C00">
            <w:pPr>
              <w:rPr>
                <w:rFonts w:ascii="Arial" w:hAnsi="Arial" w:cs="Arial"/>
                <w:sz w:val="24"/>
              </w:rPr>
            </w:pPr>
            <w:r w:rsidRPr="004C3841">
              <w:rPr>
                <w:rFonts w:ascii="Arial" w:hAnsi="Arial" w:cs="Arial"/>
                <w:b/>
                <w:sz w:val="24"/>
              </w:rPr>
              <w:t xml:space="preserve">Outcome: </w:t>
            </w:r>
            <w:r w:rsidRPr="004C3841">
              <w:rPr>
                <w:rFonts w:ascii="Arial" w:hAnsi="Arial" w:cs="Arial"/>
                <w:sz w:val="24"/>
              </w:rPr>
              <w:t>The document will be finalised out of session once the Committee agrees on the process for receiving submissions for classification, public consultation and consideration of submissions (see agenda item 5).</w:t>
            </w:r>
          </w:p>
          <w:p w:rsidR="007F6F56" w:rsidRPr="004C3841" w:rsidRDefault="007F6F56" w:rsidP="00127C00">
            <w:pPr>
              <w:rPr>
                <w:rFonts w:ascii="Arial" w:hAnsi="Arial" w:cs="Arial"/>
                <w:sz w:val="24"/>
              </w:rPr>
            </w:pPr>
          </w:p>
        </w:tc>
      </w:tr>
      <w:tr w:rsidR="007F6F56" w:rsidRPr="004C3841" w:rsidTr="00127C00">
        <w:tc>
          <w:tcPr>
            <w:tcW w:w="720" w:type="dxa"/>
          </w:tcPr>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5</w:t>
            </w:r>
          </w:p>
        </w:tc>
        <w:tc>
          <w:tcPr>
            <w:tcW w:w="9180" w:type="dxa"/>
          </w:tcPr>
          <w:p w:rsidR="007F6F56" w:rsidRPr="004C3841" w:rsidRDefault="007F6F56" w:rsidP="00127C00">
            <w:pPr>
              <w:tabs>
                <w:tab w:val="right" w:leader="underscore" w:pos="5670"/>
                <w:tab w:val="left" w:pos="6237"/>
              </w:tabs>
              <w:rPr>
                <w:rFonts w:ascii="Arial" w:hAnsi="Arial" w:cs="Arial"/>
                <w:b/>
                <w:sz w:val="24"/>
              </w:rPr>
            </w:pPr>
            <w:r w:rsidRPr="004C3841">
              <w:rPr>
                <w:rFonts w:ascii="Arial" w:hAnsi="Arial" w:cs="Arial"/>
                <w:b/>
                <w:sz w:val="24"/>
              </w:rPr>
              <w:t>Two stage assessment process</w:t>
            </w: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A two stage process for drug assessment was discussed at the previous meeting. The Secretariat provided a more detailed description of the process, as well as an alternative process that would be more streamlined. Due to the change in Secretariat from the last meeting, the Secretariat proposed that the Committee hold two meetings a year instead of three to four and adopt a one stage assessment to align with this.</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The Committee discussed the merits around the two options. The assessment process that is adopted will be dependent on what information is available for the specific drug that is being assessed.</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b/>
                <w:sz w:val="24"/>
              </w:rPr>
              <w:t xml:space="preserve">Outcome: </w:t>
            </w:r>
            <w:r w:rsidRPr="004C3841">
              <w:rPr>
                <w:rFonts w:ascii="Arial" w:hAnsi="Arial" w:cs="Arial"/>
                <w:sz w:val="24"/>
              </w:rPr>
              <w:t>The process for drug assessment will be finalised out of session once the Secretariat has provided a more detailed description for comment.</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b/>
                <w:sz w:val="24"/>
              </w:rPr>
              <w:t xml:space="preserve">Action: </w:t>
            </w:r>
            <w:r w:rsidRPr="004C3841">
              <w:rPr>
                <w:rFonts w:ascii="Arial" w:hAnsi="Arial" w:cs="Arial"/>
                <w:sz w:val="24"/>
              </w:rPr>
              <w:t>Secretariat to provide a more detailed description of the one stage process to forward to the Committee out of session.</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i/>
                <w:sz w:val="24"/>
              </w:rPr>
            </w:pPr>
            <w:r w:rsidRPr="004C3841">
              <w:rPr>
                <w:rFonts w:ascii="Arial" w:hAnsi="Arial" w:cs="Arial"/>
                <w:i/>
                <w:sz w:val="24"/>
              </w:rPr>
              <w:t>Update on consultation</w:t>
            </w:r>
          </w:p>
          <w:p w:rsidR="00A30BEB" w:rsidRPr="004C3841" w:rsidRDefault="00A30BEB" w:rsidP="00127C00">
            <w:pPr>
              <w:tabs>
                <w:tab w:val="right" w:leader="underscore" w:pos="5670"/>
                <w:tab w:val="left" w:pos="6237"/>
              </w:tabs>
              <w:rPr>
                <w:rFonts w:ascii="Arial" w:hAnsi="Arial" w:cs="Arial"/>
                <w:sz w:val="24"/>
              </w:rPr>
            </w:pPr>
            <w:r w:rsidRPr="004C3841">
              <w:rPr>
                <w:rFonts w:ascii="Arial" w:hAnsi="Arial" w:cs="Arial"/>
                <w:sz w:val="24"/>
              </w:rPr>
              <w:t>[redacted]</w:t>
            </w:r>
          </w:p>
          <w:p w:rsidR="007F6F56" w:rsidRPr="004C3841" w:rsidRDefault="00A30BEB" w:rsidP="00127C00">
            <w:pPr>
              <w:tabs>
                <w:tab w:val="right" w:leader="underscore" w:pos="5670"/>
                <w:tab w:val="left" w:pos="6237"/>
              </w:tabs>
              <w:rPr>
                <w:rFonts w:ascii="Arial" w:hAnsi="Arial" w:cs="Arial"/>
                <w:sz w:val="24"/>
              </w:rPr>
            </w:pPr>
            <w:r w:rsidRPr="004C3841">
              <w:rPr>
                <w:rFonts w:ascii="Arial" w:hAnsi="Arial" w:cs="Arial"/>
                <w:sz w:val="24"/>
              </w:rPr>
              <w:t xml:space="preserve"> </w:t>
            </w: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The Committee discussed the importance of transparency and public input but acknowledged the potential issues that could arise with public consultations. Options discussed for the opportunity for the public to participate included:</w:t>
            </w:r>
          </w:p>
          <w:p w:rsidR="007F6F56" w:rsidRPr="004C3841" w:rsidRDefault="007F6F56" w:rsidP="00127C00">
            <w:pPr>
              <w:pStyle w:val="ListParagraph"/>
              <w:numPr>
                <w:ilvl w:val="0"/>
                <w:numId w:val="2"/>
              </w:numPr>
              <w:tabs>
                <w:tab w:val="right" w:leader="underscore" w:pos="5670"/>
                <w:tab w:val="left" w:pos="6237"/>
              </w:tabs>
              <w:rPr>
                <w:rFonts w:ascii="Arial" w:hAnsi="Arial" w:cs="Arial"/>
                <w:sz w:val="24"/>
              </w:rPr>
            </w:pPr>
            <w:r w:rsidRPr="004C3841">
              <w:rPr>
                <w:rFonts w:ascii="Arial" w:hAnsi="Arial" w:cs="Arial"/>
                <w:sz w:val="24"/>
              </w:rPr>
              <w:t>being able to submit items for inclusion on the agenda, subject to approval of the item by the Chair</w:t>
            </w:r>
          </w:p>
          <w:p w:rsidR="007F6F56" w:rsidRPr="004C3841" w:rsidRDefault="007F6F56" w:rsidP="00127C00">
            <w:pPr>
              <w:pStyle w:val="ListParagraph"/>
              <w:numPr>
                <w:ilvl w:val="0"/>
                <w:numId w:val="2"/>
              </w:numPr>
              <w:tabs>
                <w:tab w:val="right" w:leader="underscore" w:pos="5670"/>
                <w:tab w:val="left" w:pos="6237"/>
              </w:tabs>
              <w:rPr>
                <w:rFonts w:ascii="Arial" w:hAnsi="Arial" w:cs="Arial"/>
                <w:sz w:val="24"/>
              </w:rPr>
            </w:pPr>
            <w:proofErr w:type="gramStart"/>
            <w:r w:rsidRPr="004C3841">
              <w:rPr>
                <w:rFonts w:ascii="Arial" w:hAnsi="Arial" w:cs="Arial"/>
                <w:sz w:val="24"/>
              </w:rPr>
              <w:t>and/or</w:t>
            </w:r>
            <w:proofErr w:type="gramEnd"/>
            <w:r w:rsidRPr="004C3841">
              <w:rPr>
                <w:rFonts w:ascii="Arial" w:hAnsi="Arial" w:cs="Arial"/>
                <w:sz w:val="24"/>
              </w:rPr>
              <w:t xml:space="preserve"> being asked for submissions on pre-set agenda items.</w:t>
            </w:r>
          </w:p>
          <w:p w:rsidR="007F6F56" w:rsidRPr="004C3841" w:rsidRDefault="007F6F56" w:rsidP="00127C00">
            <w:pPr>
              <w:pStyle w:val="ListParagraph"/>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The Secretariat also briefly discussed different options that would ensure that public submissions would meet criteria for quality and relevance.</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b/>
                <w:sz w:val="24"/>
              </w:rPr>
              <w:t xml:space="preserve">Outcome: </w:t>
            </w:r>
            <w:r w:rsidRPr="004C3841">
              <w:rPr>
                <w:rFonts w:ascii="Arial" w:hAnsi="Arial" w:cs="Arial"/>
                <w:sz w:val="24"/>
              </w:rPr>
              <w:t>The Committee were all in favour of public submissions. The process for consultation would be finalised out of session pending a guidance document provided by the Secretariat.</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b/>
                <w:sz w:val="24"/>
              </w:rPr>
              <w:lastRenderedPageBreak/>
              <w:t xml:space="preserve">Action: </w:t>
            </w:r>
            <w:r w:rsidRPr="004C3841">
              <w:rPr>
                <w:rFonts w:ascii="Arial" w:hAnsi="Arial" w:cs="Arial"/>
                <w:sz w:val="24"/>
              </w:rPr>
              <w:t>Secretariat to provide a guidance document for the public consultation process for the Committee to consider out of session.</w:t>
            </w:r>
          </w:p>
          <w:p w:rsidR="007F6F56" w:rsidRPr="004C3841" w:rsidRDefault="007F6F56" w:rsidP="00127C00">
            <w:pPr>
              <w:tabs>
                <w:tab w:val="right" w:leader="underscore" w:pos="5670"/>
                <w:tab w:val="left" w:pos="6237"/>
              </w:tabs>
              <w:rPr>
                <w:rFonts w:ascii="Arial" w:hAnsi="Arial" w:cs="Arial"/>
                <w:sz w:val="24"/>
              </w:rPr>
            </w:pPr>
          </w:p>
        </w:tc>
      </w:tr>
      <w:tr w:rsidR="007F6F56" w:rsidRPr="004C3841" w:rsidTr="00127C00">
        <w:tc>
          <w:tcPr>
            <w:tcW w:w="720" w:type="dxa"/>
          </w:tcPr>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lastRenderedPageBreak/>
              <w:t>6</w:t>
            </w:r>
          </w:p>
        </w:tc>
        <w:tc>
          <w:tcPr>
            <w:tcW w:w="9180" w:type="dxa"/>
          </w:tcPr>
          <w:p w:rsidR="007F6F56" w:rsidRPr="004C3841" w:rsidRDefault="007F6F56" w:rsidP="00127C00">
            <w:pPr>
              <w:tabs>
                <w:tab w:val="right" w:leader="underscore" w:pos="5670"/>
                <w:tab w:val="left" w:pos="6237"/>
              </w:tabs>
              <w:rPr>
                <w:rFonts w:ascii="Arial" w:hAnsi="Arial" w:cs="Arial"/>
                <w:b/>
                <w:sz w:val="24"/>
              </w:rPr>
            </w:pPr>
            <w:r w:rsidRPr="004C3841">
              <w:rPr>
                <w:rFonts w:ascii="Arial" w:hAnsi="Arial" w:cs="Arial"/>
                <w:b/>
                <w:sz w:val="24"/>
              </w:rPr>
              <w:t>Handbook</w:t>
            </w: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It was clarified that the Committee Handbook is an internal document for members only and will not be for public distribution.</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b/>
                <w:sz w:val="24"/>
              </w:rPr>
              <w:t xml:space="preserve">Action: </w:t>
            </w:r>
            <w:r w:rsidRPr="004C3841">
              <w:rPr>
                <w:rFonts w:ascii="Arial" w:hAnsi="Arial" w:cs="Arial"/>
                <w:sz w:val="24"/>
              </w:rPr>
              <w:t>Secretariat to amend the error in section 3.0 under General expectations.</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The issue of availability of committee members for meetings was discussed, and whether or not it would be appropriate for committee members to nominate a stand in in their absence. It was also discussed whether or not attendees that were standing in for appointed members would have voting rights, and if they would be able to form part of the quorum.</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b/>
                <w:sz w:val="24"/>
              </w:rPr>
              <w:t xml:space="preserve">Outcome: </w:t>
            </w:r>
            <w:r w:rsidRPr="004C3841">
              <w:rPr>
                <w:rFonts w:ascii="Arial" w:hAnsi="Arial" w:cs="Arial"/>
                <w:sz w:val="24"/>
              </w:rPr>
              <w:t xml:space="preserve">It was moved by </w:t>
            </w:r>
            <w:r w:rsidR="004C7B7A" w:rsidRPr="004C3841">
              <w:rPr>
                <w:rFonts w:ascii="Arial" w:hAnsi="Arial" w:cs="Arial"/>
                <w:sz w:val="24"/>
              </w:rPr>
              <w:t>[redacted]</w:t>
            </w:r>
            <w:r w:rsidRPr="004C3841">
              <w:rPr>
                <w:rFonts w:ascii="Arial" w:hAnsi="Arial" w:cs="Arial"/>
                <w:sz w:val="24"/>
              </w:rPr>
              <w:t xml:space="preserve"> that when a committee member from a statutory body is unavailable to attend a meeting for a legitimate reason, they are able to nominate an appropriate person with the approval of the Chair to attend on their behalf prior to the next meeting This was seconded by </w:t>
            </w:r>
            <w:r w:rsidR="004C7B7A" w:rsidRPr="004C3841">
              <w:rPr>
                <w:rFonts w:ascii="Arial" w:hAnsi="Arial" w:cs="Arial"/>
                <w:sz w:val="24"/>
              </w:rPr>
              <w:t>[redacted]</w:t>
            </w:r>
            <w:r w:rsidRPr="004C3841">
              <w:rPr>
                <w:rFonts w:ascii="Arial" w:hAnsi="Arial" w:cs="Arial"/>
                <w:sz w:val="24"/>
              </w:rPr>
              <w:t>.</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b/>
                <w:sz w:val="24"/>
              </w:rPr>
              <w:t>Action:</w:t>
            </w:r>
            <w:r w:rsidRPr="004C3841">
              <w:rPr>
                <w:rFonts w:ascii="Arial" w:hAnsi="Arial" w:cs="Arial"/>
                <w:sz w:val="24"/>
              </w:rPr>
              <w:t xml:space="preserve"> Secretariat to get advice from Health Legal whether or not a stand in committee member can cast a vote and if they are able to form part of the quorum.</w:t>
            </w:r>
          </w:p>
          <w:p w:rsidR="007F6F56" w:rsidRPr="004C3841" w:rsidRDefault="007F6F56" w:rsidP="00127C00">
            <w:pPr>
              <w:tabs>
                <w:tab w:val="right" w:leader="underscore" w:pos="5670"/>
                <w:tab w:val="left" w:pos="6237"/>
              </w:tabs>
              <w:rPr>
                <w:rFonts w:ascii="Arial" w:hAnsi="Arial" w:cs="Arial"/>
                <w:sz w:val="24"/>
              </w:rPr>
            </w:pPr>
          </w:p>
        </w:tc>
      </w:tr>
      <w:tr w:rsidR="007F6F56" w:rsidRPr="004C3841" w:rsidTr="00127C00">
        <w:tc>
          <w:tcPr>
            <w:tcW w:w="720" w:type="dxa"/>
          </w:tcPr>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7</w:t>
            </w:r>
          </w:p>
        </w:tc>
        <w:tc>
          <w:tcPr>
            <w:tcW w:w="9180" w:type="dxa"/>
          </w:tcPr>
          <w:p w:rsidR="007F6F56" w:rsidRPr="004C3841" w:rsidRDefault="007F6F56" w:rsidP="00127C00">
            <w:pPr>
              <w:tabs>
                <w:tab w:val="right" w:leader="underscore" w:pos="5670"/>
                <w:tab w:val="left" w:pos="6237"/>
              </w:tabs>
              <w:rPr>
                <w:rFonts w:ascii="Arial" w:hAnsi="Arial" w:cs="Arial"/>
                <w:b/>
                <w:sz w:val="24"/>
              </w:rPr>
            </w:pPr>
            <w:r w:rsidRPr="004C3841">
              <w:rPr>
                <w:rFonts w:ascii="Arial" w:hAnsi="Arial" w:cs="Arial"/>
                <w:b/>
                <w:sz w:val="24"/>
              </w:rPr>
              <w:t>Website</w:t>
            </w:r>
          </w:p>
          <w:p w:rsidR="007F6F56" w:rsidRPr="004C3841" w:rsidRDefault="007F6F56" w:rsidP="00127C00">
            <w:pPr>
              <w:tabs>
                <w:tab w:val="right" w:leader="underscore" w:pos="5670"/>
                <w:tab w:val="left" w:pos="6237"/>
              </w:tabs>
              <w:rPr>
                <w:rFonts w:ascii="Arial" w:hAnsi="Arial" w:cs="Arial"/>
                <w:i/>
                <w:sz w:val="24"/>
              </w:rPr>
            </w:pPr>
            <w:r w:rsidRPr="004C3841">
              <w:rPr>
                <w:rFonts w:ascii="Arial" w:hAnsi="Arial" w:cs="Arial"/>
                <w:i/>
                <w:sz w:val="24"/>
              </w:rPr>
              <w:t>7.1 Update to current website</w:t>
            </w: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The Secretariat gave a brief overview of the proposed changes to the web page. The issue around confidentiality of member contact details was raised. The Secretariat clarified that the committee member contact details would not be published on the website or be available to the public.</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The “Public input to the drug classification process” section on the web page needs to be updated to reflect the decided process for public consultations discussed in agenda item 5.</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The format, timing of release and confirmation process of the technical papers and minutes that will be made available on the website was also discussed.</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b/>
                <w:sz w:val="24"/>
              </w:rPr>
              <w:t xml:space="preserve">Outcome: </w:t>
            </w:r>
            <w:r w:rsidRPr="004C3841">
              <w:rPr>
                <w:rFonts w:ascii="Arial" w:hAnsi="Arial" w:cs="Arial"/>
                <w:sz w:val="24"/>
              </w:rPr>
              <w:t>Papers published on the website, including technical papers, agendas and minutes, would need to be written appropriately for external release. The Secretariat would need to consult with Health Legal. It was suggested by the Secretariat that the minutes be confirmed out of session. Minutes will be circulated to the Committee for comment and would be confirmed electronically.</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b/>
                <w:sz w:val="24"/>
              </w:rPr>
              <w:t>Action:</w:t>
            </w:r>
            <w:r w:rsidRPr="004C3841">
              <w:rPr>
                <w:rFonts w:ascii="Arial" w:hAnsi="Arial" w:cs="Arial"/>
                <w:sz w:val="24"/>
              </w:rPr>
              <w:t xml:space="preserve"> Secretariat to update </w:t>
            </w:r>
            <w:r w:rsidR="004C7B7A" w:rsidRPr="004C3841">
              <w:rPr>
                <w:rFonts w:ascii="Arial" w:hAnsi="Arial" w:cs="Arial"/>
                <w:sz w:val="24"/>
              </w:rPr>
              <w:t>[redacted]</w:t>
            </w:r>
            <w:r w:rsidRPr="004C3841">
              <w:rPr>
                <w:rFonts w:ascii="Arial" w:hAnsi="Arial" w:cs="Arial"/>
                <w:sz w:val="24"/>
              </w:rPr>
              <w:t xml:space="preserve"> title to reflect his current position and add areas of expertise to the list of members on the website.</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i/>
                <w:sz w:val="24"/>
              </w:rPr>
            </w:pPr>
            <w:r w:rsidRPr="004C3841">
              <w:rPr>
                <w:rFonts w:ascii="Arial" w:hAnsi="Arial" w:cs="Arial"/>
                <w:i/>
                <w:sz w:val="24"/>
              </w:rPr>
              <w:t>7.2 Shared workspace</w:t>
            </w: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 xml:space="preserve">The idea behind the shared workspace initiative is to allow easier information sharing between different organisations. This space is hosted by the Department of Internal Affairs. A </w:t>
            </w:r>
            <w:proofErr w:type="spellStart"/>
            <w:r w:rsidRPr="004C3841">
              <w:rPr>
                <w:rFonts w:ascii="Arial" w:hAnsi="Arial" w:cs="Arial"/>
                <w:sz w:val="24"/>
              </w:rPr>
              <w:t>Realme</w:t>
            </w:r>
            <w:proofErr w:type="spellEnd"/>
            <w:r w:rsidRPr="004C3841">
              <w:rPr>
                <w:rFonts w:ascii="Arial" w:hAnsi="Arial" w:cs="Arial"/>
                <w:sz w:val="24"/>
              </w:rPr>
              <w:t xml:space="preserve"> login is required. Agendas, minutes and technical papers will be posted in the work space which will be able to be edited.</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b/>
                <w:sz w:val="24"/>
              </w:rPr>
              <w:t xml:space="preserve">Outcome: </w:t>
            </w:r>
            <w:r w:rsidRPr="004C3841">
              <w:rPr>
                <w:rFonts w:ascii="Arial" w:hAnsi="Arial" w:cs="Arial"/>
                <w:sz w:val="24"/>
              </w:rPr>
              <w:t xml:space="preserve">The Committee requested that instead of hardcopy hand outs of meeting papers, a data projector be set up to display the meeting papers from the shared workspace for future meetings. The Secretariat will look into this for the next </w:t>
            </w:r>
            <w:r w:rsidRPr="004C3841">
              <w:rPr>
                <w:rFonts w:ascii="Arial" w:hAnsi="Arial" w:cs="Arial"/>
                <w:sz w:val="24"/>
              </w:rPr>
              <w:lastRenderedPageBreak/>
              <w:t>meeting. Nominated persons that will be standing in for committee members who are unable to attend meetings will also be given access after approval from the Chair.</w:t>
            </w:r>
          </w:p>
          <w:p w:rsidR="007F6F56" w:rsidRPr="004C3841" w:rsidRDefault="007F6F56" w:rsidP="00127C00">
            <w:pPr>
              <w:tabs>
                <w:tab w:val="right" w:leader="underscore" w:pos="5670"/>
                <w:tab w:val="left" w:pos="6237"/>
              </w:tabs>
              <w:rPr>
                <w:rFonts w:ascii="Arial" w:hAnsi="Arial" w:cs="Arial"/>
                <w:b/>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b/>
                <w:sz w:val="24"/>
              </w:rPr>
              <w:t>Action</w:t>
            </w:r>
            <w:r w:rsidRPr="004C3841">
              <w:rPr>
                <w:rFonts w:ascii="Arial" w:hAnsi="Arial" w:cs="Arial"/>
                <w:sz w:val="24"/>
              </w:rPr>
              <w:t>: Secretariat to send out invites for shared workspace.</w:t>
            </w:r>
          </w:p>
          <w:p w:rsidR="007F6F56" w:rsidRPr="004C3841" w:rsidRDefault="007F6F56" w:rsidP="00127C00">
            <w:pPr>
              <w:tabs>
                <w:tab w:val="right" w:leader="underscore" w:pos="5670"/>
                <w:tab w:val="left" w:pos="6237"/>
              </w:tabs>
              <w:rPr>
                <w:rFonts w:ascii="Arial" w:hAnsi="Arial" w:cs="Arial"/>
                <w:sz w:val="24"/>
              </w:rPr>
            </w:pPr>
          </w:p>
        </w:tc>
      </w:tr>
      <w:tr w:rsidR="007F6F56" w:rsidRPr="004C3841" w:rsidTr="00127C00">
        <w:tc>
          <w:tcPr>
            <w:tcW w:w="720" w:type="dxa"/>
          </w:tcPr>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lastRenderedPageBreak/>
              <w:t>8</w:t>
            </w:r>
          </w:p>
        </w:tc>
        <w:tc>
          <w:tcPr>
            <w:tcW w:w="9180" w:type="dxa"/>
          </w:tcPr>
          <w:p w:rsidR="007F6F56" w:rsidRPr="004C3841" w:rsidRDefault="007F6F56" w:rsidP="00127C00">
            <w:pPr>
              <w:tabs>
                <w:tab w:val="right" w:leader="underscore" w:pos="5670"/>
                <w:tab w:val="left" w:pos="6237"/>
              </w:tabs>
              <w:rPr>
                <w:rFonts w:ascii="Arial" w:hAnsi="Arial" w:cs="Arial"/>
                <w:b/>
                <w:sz w:val="24"/>
              </w:rPr>
            </w:pPr>
            <w:r w:rsidRPr="004C3841">
              <w:rPr>
                <w:rFonts w:ascii="Arial" w:hAnsi="Arial" w:cs="Arial"/>
                <w:b/>
                <w:sz w:val="24"/>
              </w:rPr>
              <w:t>Working schedule of substances</w:t>
            </w: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At the previous meeting, it was proposed that the Committee systematically go through substances in the schedule. The Office of the Psychoactive Substances Regulatory Authority (OPSRA) has only recently been appointed as the Secretariat to the EACD. The Secretariat advised that due to other work priorities as well as providing technical papers for meetings, they would be unable to commit to the amount of work required to systematically work through the schedule of substances. The Secretariat suggested that the Committee focus on scheduling new drugs, which will likely be psychoactive substances, and if already scheduled drugs require review, they be approached on a case by case basis. The Committee agreed.</w:t>
            </w:r>
          </w:p>
          <w:p w:rsidR="007F6F56" w:rsidRPr="004C3841" w:rsidRDefault="007F6F56" w:rsidP="00127C00">
            <w:pPr>
              <w:tabs>
                <w:tab w:val="right" w:leader="underscore" w:pos="5670"/>
                <w:tab w:val="left" w:pos="6237"/>
              </w:tabs>
              <w:rPr>
                <w:rFonts w:ascii="Arial" w:hAnsi="Arial" w:cs="Arial"/>
                <w:sz w:val="24"/>
              </w:rPr>
            </w:pPr>
          </w:p>
        </w:tc>
      </w:tr>
      <w:tr w:rsidR="007F6F56" w:rsidRPr="004C3841" w:rsidTr="00127C00">
        <w:tc>
          <w:tcPr>
            <w:tcW w:w="720" w:type="dxa"/>
          </w:tcPr>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9</w:t>
            </w:r>
          </w:p>
        </w:tc>
        <w:tc>
          <w:tcPr>
            <w:tcW w:w="9180" w:type="dxa"/>
          </w:tcPr>
          <w:p w:rsidR="007F6F56" w:rsidRPr="004C3841" w:rsidRDefault="007F6F56" w:rsidP="00127C00">
            <w:pPr>
              <w:tabs>
                <w:tab w:val="right" w:leader="underscore" w:pos="5670"/>
                <w:tab w:val="left" w:pos="6237"/>
              </w:tabs>
              <w:rPr>
                <w:rFonts w:ascii="Arial" w:hAnsi="Arial" w:cs="Arial"/>
                <w:b/>
                <w:sz w:val="24"/>
              </w:rPr>
            </w:pPr>
            <w:r w:rsidRPr="004C3841">
              <w:rPr>
                <w:rFonts w:ascii="Arial" w:hAnsi="Arial" w:cs="Arial"/>
                <w:b/>
                <w:sz w:val="24"/>
              </w:rPr>
              <w:t>Break for morning tea</w:t>
            </w:r>
          </w:p>
        </w:tc>
      </w:tr>
      <w:tr w:rsidR="007F6F56" w:rsidRPr="004C3841" w:rsidTr="00127C00">
        <w:tc>
          <w:tcPr>
            <w:tcW w:w="720" w:type="dxa"/>
          </w:tcPr>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10</w:t>
            </w:r>
          </w:p>
        </w:tc>
        <w:tc>
          <w:tcPr>
            <w:tcW w:w="9180" w:type="dxa"/>
          </w:tcPr>
          <w:p w:rsidR="007F6F56" w:rsidRPr="004C3841" w:rsidRDefault="007F6F56" w:rsidP="00127C00">
            <w:pPr>
              <w:tabs>
                <w:tab w:val="right" w:leader="underscore" w:pos="5670"/>
                <w:tab w:val="left" w:pos="6237"/>
              </w:tabs>
              <w:rPr>
                <w:rFonts w:ascii="Arial" w:hAnsi="Arial" w:cs="Arial"/>
                <w:b/>
                <w:sz w:val="24"/>
              </w:rPr>
            </w:pPr>
            <w:r w:rsidRPr="004C3841">
              <w:rPr>
                <w:rFonts w:ascii="Arial" w:hAnsi="Arial" w:cs="Arial"/>
                <w:b/>
                <w:sz w:val="24"/>
              </w:rPr>
              <w:t>Update on DMAA</w:t>
            </w: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 xml:space="preserve">At the previous meeting, the Committee agreed that DMAA should be referred to the Medicines Classification Committee for consideration as a medicine as DMAA does not meet enough of the criteria or reach the appropriate harm threshold required to be classified under </w:t>
            </w:r>
            <w:proofErr w:type="spellStart"/>
            <w:r w:rsidRPr="004C3841">
              <w:rPr>
                <w:rFonts w:ascii="Arial" w:hAnsi="Arial" w:cs="Arial"/>
                <w:sz w:val="24"/>
              </w:rPr>
              <w:t>MoDA</w:t>
            </w:r>
            <w:proofErr w:type="spellEnd"/>
            <w:r w:rsidRPr="004C3841">
              <w:rPr>
                <w:rFonts w:ascii="Arial" w:hAnsi="Arial" w:cs="Arial"/>
                <w:sz w:val="24"/>
              </w:rPr>
              <w:t>. The Secretariat has since clarified that DMAA needed to be referred to the Medicines Categorisation Committee first to decide if DMAA should be categorised as a medicine. The Secretariat advised that the Medicines Categorisation Committee met and decided that products containing DMAA are medicines due to its decongestant properties. The Medicines Categorisation Committee has referred DMAA to the Medicines Classification Committee who will then determine what type of medicine it will be classified as. DMAA has been added to the agenda for the Medicines Classification Committee meeting that is likely to be held in October or November 2015.</w:t>
            </w:r>
          </w:p>
          <w:p w:rsidR="007F6F56" w:rsidRPr="004C3841" w:rsidRDefault="007F6F56" w:rsidP="00127C00">
            <w:pPr>
              <w:tabs>
                <w:tab w:val="right" w:leader="underscore" w:pos="5670"/>
                <w:tab w:val="left" w:pos="6237"/>
              </w:tabs>
              <w:rPr>
                <w:rFonts w:ascii="Arial" w:hAnsi="Arial" w:cs="Arial"/>
                <w:b/>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b/>
                <w:sz w:val="24"/>
              </w:rPr>
              <w:t>Action:</w:t>
            </w:r>
            <w:r w:rsidRPr="004C3841">
              <w:rPr>
                <w:rFonts w:ascii="Arial" w:hAnsi="Arial" w:cs="Arial"/>
                <w:sz w:val="24"/>
              </w:rPr>
              <w:t xml:space="preserve"> The Secretariat will inform the EACD of the Medicines Classification Committee decision on DMAA.</w:t>
            </w:r>
          </w:p>
          <w:p w:rsidR="007F6F56" w:rsidRPr="004C3841" w:rsidRDefault="007F6F56" w:rsidP="00127C00">
            <w:pPr>
              <w:tabs>
                <w:tab w:val="right" w:leader="underscore" w:pos="5670"/>
                <w:tab w:val="left" w:pos="6237"/>
              </w:tabs>
              <w:rPr>
                <w:rFonts w:ascii="Arial" w:hAnsi="Arial" w:cs="Arial"/>
                <w:sz w:val="24"/>
              </w:rPr>
            </w:pPr>
          </w:p>
        </w:tc>
      </w:tr>
      <w:tr w:rsidR="007F6F56" w:rsidRPr="004C3841" w:rsidTr="00127C00">
        <w:tc>
          <w:tcPr>
            <w:tcW w:w="720" w:type="dxa"/>
          </w:tcPr>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11</w:t>
            </w:r>
          </w:p>
        </w:tc>
        <w:tc>
          <w:tcPr>
            <w:tcW w:w="9180" w:type="dxa"/>
          </w:tcPr>
          <w:p w:rsidR="007F6F56" w:rsidRPr="004C3841" w:rsidRDefault="007F6F56" w:rsidP="00127C00">
            <w:pPr>
              <w:tabs>
                <w:tab w:val="right" w:leader="underscore" w:pos="5670"/>
                <w:tab w:val="left" w:pos="6237"/>
              </w:tabs>
              <w:rPr>
                <w:rFonts w:ascii="Arial" w:hAnsi="Arial" w:cs="Arial"/>
                <w:b/>
                <w:sz w:val="24"/>
              </w:rPr>
            </w:pPr>
            <w:r w:rsidRPr="004C3841">
              <w:rPr>
                <w:rFonts w:ascii="Arial" w:hAnsi="Arial" w:cs="Arial"/>
                <w:b/>
                <w:sz w:val="24"/>
              </w:rPr>
              <w:t>Analogue and precursor provisions</w:t>
            </w:r>
          </w:p>
          <w:p w:rsidR="007F6F56" w:rsidRPr="004C3841" w:rsidRDefault="004C7B7A" w:rsidP="00127C00">
            <w:pPr>
              <w:tabs>
                <w:tab w:val="right" w:leader="underscore" w:pos="5670"/>
                <w:tab w:val="left" w:pos="6237"/>
              </w:tabs>
              <w:rPr>
                <w:rFonts w:ascii="Arial" w:hAnsi="Arial" w:cs="Arial"/>
                <w:sz w:val="24"/>
              </w:rPr>
            </w:pPr>
            <w:r w:rsidRPr="004C3841">
              <w:rPr>
                <w:rFonts w:ascii="Arial" w:hAnsi="Arial" w:cs="Arial"/>
                <w:sz w:val="24"/>
              </w:rPr>
              <w:t>[</w:t>
            </w:r>
            <w:proofErr w:type="gramStart"/>
            <w:r w:rsidRPr="004C3841">
              <w:rPr>
                <w:rFonts w:ascii="Arial" w:hAnsi="Arial" w:cs="Arial"/>
                <w:sz w:val="24"/>
              </w:rPr>
              <w:t>redacted</w:t>
            </w:r>
            <w:proofErr w:type="gramEnd"/>
            <w:r w:rsidRPr="004C3841">
              <w:rPr>
                <w:rFonts w:ascii="Arial" w:hAnsi="Arial" w:cs="Arial"/>
                <w:sz w:val="24"/>
              </w:rPr>
              <w:t>]</w:t>
            </w:r>
            <w:r w:rsidR="007F6F56" w:rsidRPr="004C3841">
              <w:rPr>
                <w:rFonts w:ascii="Arial" w:hAnsi="Arial" w:cs="Arial"/>
                <w:sz w:val="24"/>
              </w:rPr>
              <w:t xml:space="preserve"> presented some notes on understanding asp</w:t>
            </w:r>
            <w:r w:rsidR="00A30BEB" w:rsidRPr="004C3841">
              <w:rPr>
                <w:rFonts w:ascii="Arial" w:hAnsi="Arial" w:cs="Arial"/>
                <w:sz w:val="24"/>
              </w:rPr>
              <w:t xml:space="preserve">ects of the </w:t>
            </w:r>
            <w:proofErr w:type="spellStart"/>
            <w:r w:rsidR="00A30BEB" w:rsidRPr="004C3841">
              <w:rPr>
                <w:rFonts w:ascii="Arial" w:hAnsi="Arial" w:cs="Arial"/>
                <w:sz w:val="24"/>
              </w:rPr>
              <w:t>MoDA</w:t>
            </w:r>
            <w:proofErr w:type="spellEnd"/>
            <w:r w:rsidR="00A30BEB" w:rsidRPr="004C3841">
              <w:rPr>
                <w:rFonts w:ascii="Arial" w:hAnsi="Arial" w:cs="Arial"/>
                <w:sz w:val="24"/>
              </w:rPr>
              <w:t xml:space="preserve"> </w:t>
            </w:r>
            <w:r w:rsidR="007F6F56" w:rsidRPr="004C3841">
              <w:rPr>
                <w:rFonts w:ascii="Arial" w:hAnsi="Arial" w:cs="Arial"/>
                <w:sz w:val="24"/>
              </w:rPr>
              <w:t xml:space="preserve">with particular regard to analogue provisions. </w:t>
            </w:r>
            <w:r w:rsidRPr="004C3841">
              <w:rPr>
                <w:rFonts w:ascii="Arial" w:hAnsi="Arial" w:cs="Arial"/>
                <w:sz w:val="24"/>
              </w:rPr>
              <w:t>[</w:t>
            </w:r>
            <w:proofErr w:type="gramStart"/>
            <w:r w:rsidRPr="004C3841">
              <w:rPr>
                <w:rFonts w:ascii="Arial" w:hAnsi="Arial" w:cs="Arial"/>
                <w:sz w:val="24"/>
              </w:rPr>
              <w:t>redacted</w:t>
            </w:r>
            <w:proofErr w:type="gramEnd"/>
            <w:r w:rsidRPr="004C3841">
              <w:rPr>
                <w:rFonts w:ascii="Arial" w:hAnsi="Arial" w:cs="Arial"/>
                <w:sz w:val="24"/>
              </w:rPr>
              <w:t>]</w:t>
            </w:r>
            <w:r w:rsidR="007F6F56" w:rsidRPr="004C3841">
              <w:rPr>
                <w:rFonts w:ascii="Arial" w:hAnsi="Arial" w:cs="Arial"/>
                <w:sz w:val="24"/>
              </w:rPr>
              <w:t xml:space="preserve"> was nominated by the Secretariat to provide technical input for this discussion. See “Notes on Understanding Aspects of the Misuse of Drugs Act paper”.</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4C7B7A" w:rsidP="00127C00">
            <w:pPr>
              <w:tabs>
                <w:tab w:val="right" w:leader="underscore" w:pos="5670"/>
                <w:tab w:val="left" w:pos="6237"/>
              </w:tabs>
              <w:rPr>
                <w:rFonts w:ascii="Arial" w:hAnsi="Arial" w:cs="Arial"/>
                <w:sz w:val="24"/>
              </w:rPr>
            </w:pPr>
            <w:r w:rsidRPr="004C3841">
              <w:rPr>
                <w:rFonts w:ascii="Arial" w:hAnsi="Arial" w:cs="Arial"/>
                <w:sz w:val="24"/>
              </w:rPr>
              <w:t>[</w:t>
            </w:r>
            <w:proofErr w:type="gramStart"/>
            <w:r w:rsidRPr="004C3841">
              <w:rPr>
                <w:rFonts w:ascii="Arial" w:hAnsi="Arial" w:cs="Arial"/>
                <w:sz w:val="24"/>
              </w:rPr>
              <w:t>redacted</w:t>
            </w:r>
            <w:proofErr w:type="gramEnd"/>
            <w:r w:rsidRPr="004C3841">
              <w:rPr>
                <w:rFonts w:ascii="Arial" w:hAnsi="Arial" w:cs="Arial"/>
                <w:sz w:val="24"/>
              </w:rPr>
              <w:t>]</w:t>
            </w:r>
            <w:r w:rsidR="007F6F56" w:rsidRPr="004C3841">
              <w:rPr>
                <w:rFonts w:ascii="Arial" w:hAnsi="Arial" w:cs="Arial"/>
                <w:sz w:val="24"/>
              </w:rPr>
              <w:t xml:space="preserve"> will forward these notes to the Secretariat for dissemination to the Committee.</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 xml:space="preserve">In brief, the </w:t>
            </w:r>
            <w:proofErr w:type="spellStart"/>
            <w:r w:rsidRPr="004C3841">
              <w:rPr>
                <w:rFonts w:ascii="Arial" w:hAnsi="Arial" w:cs="Arial"/>
                <w:sz w:val="24"/>
              </w:rPr>
              <w:t>MoDA</w:t>
            </w:r>
            <w:proofErr w:type="spellEnd"/>
            <w:r w:rsidRPr="004C3841">
              <w:rPr>
                <w:rFonts w:ascii="Arial" w:hAnsi="Arial" w:cs="Arial"/>
                <w:sz w:val="24"/>
              </w:rPr>
              <w:t xml:space="preserve"> </w:t>
            </w:r>
            <w:r w:rsidR="00AD29AE" w:rsidRPr="004C3841">
              <w:rPr>
                <w:rFonts w:ascii="Arial" w:hAnsi="Arial" w:cs="Arial"/>
                <w:sz w:val="24"/>
              </w:rPr>
              <w:t xml:space="preserve"> m</w:t>
            </w:r>
            <w:r w:rsidR="00EA60CA" w:rsidRPr="004C3841">
              <w:rPr>
                <w:rFonts w:ascii="Arial" w:hAnsi="Arial" w:cs="Arial"/>
                <w:sz w:val="24"/>
              </w:rPr>
              <w:t>ake</w:t>
            </w:r>
            <w:r w:rsidR="00AD29AE" w:rsidRPr="004C3841">
              <w:rPr>
                <w:rFonts w:ascii="Arial" w:hAnsi="Arial" w:cs="Arial"/>
                <w:sz w:val="24"/>
              </w:rPr>
              <w:t>s</w:t>
            </w:r>
            <w:r w:rsidRPr="004C3841">
              <w:rPr>
                <w:rFonts w:ascii="Arial" w:hAnsi="Arial" w:cs="Arial"/>
                <w:sz w:val="24"/>
              </w:rPr>
              <w:t xml:space="preserve"> </w:t>
            </w:r>
            <w:r w:rsidR="00EA60CA" w:rsidRPr="004C3841">
              <w:rPr>
                <w:rFonts w:ascii="Arial" w:hAnsi="Arial" w:cs="Arial"/>
                <w:sz w:val="24"/>
              </w:rPr>
              <w:t xml:space="preserve">reference to </w:t>
            </w:r>
            <w:r w:rsidRPr="004C3841">
              <w:rPr>
                <w:rFonts w:ascii="Arial" w:hAnsi="Arial" w:cs="Arial"/>
                <w:sz w:val="24"/>
              </w:rPr>
              <w:t xml:space="preserve">isomers, esters, ethers and salts of any substance </w:t>
            </w:r>
            <w:r w:rsidR="00AD29AE" w:rsidRPr="004C3841">
              <w:rPr>
                <w:rFonts w:ascii="Arial" w:hAnsi="Arial" w:cs="Arial"/>
                <w:sz w:val="24"/>
              </w:rPr>
              <w:t xml:space="preserve">listed </w:t>
            </w:r>
            <w:r w:rsidRPr="004C3841">
              <w:rPr>
                <w:rFonts w:ascii="Arial" w:hAnsi="Arial" w:cs="Arial"/>
                <w:sz w:val="24"/>
              </w:rPr>
              <w:t>in schedule 1, clause 1</w:t>
            </w:r>
            <w:r w:rsidR="005238AA" w:rsidRPr="004C3841">
              <w:rPr>
                <w:rFonts w:ascii="Arial" w:hAnsi="Arial" w:cs="Arial"/>
                <w:sz w:val="24"/>
              </w:rPr>
              <w:t>;</w:t>
            </w:r>
            <w:r w:rsidRPr="004C3841">
              <w:rPr>
                <w:rFonts w:ascii="Arial" w:hAnsi="Arial" w:cs="Arial"/>
                <w:sz w:val="24"/>
              </w:rPr>
              <w:t xml:space="preserve"> </w:t>
            </w:r>
            <w:r w:rsidR="00AD29AE" w:rsidRPr="004C3841">
              <w:rPr>
                <w:rFonts w:ascii="Arial" w:hAnsi="Arial" w:cs="Arial"/>
                <w:sz w:val="24"/>
              </w:rPr>
              <w:t>in</w:t>
            </w:r>
            <w:r w:rsidRPr="004C3841">
              <w:rPr>
                <w:rFonts w:ascii="Arial" w:hAnsi="Arial" w:cs="Arial"/>
                <w:sz w:val="24"/>
              </w:rPr>
              <w:t xml:space="preserve"> parts 1, 2 and 3 of schedule 2</w:t>
            </w:r>
            <w:r w:rsidR="00AD29AE" w:rsidRPr="004C3841">
              <w:rPr>
                <w:rFonts w:ascii="Arial" w:hAnsi="Arial" w:cs="Arial"/>
                <w:sz w:val="24"/>
              </w:rPr>
              <w:t>; in</w:t>
            </w:r>
            <w:r w:rsidRPr="004C3841">
              <w:rPr>
                <w:rFonts w:ascii="Arial" w:hAnsi="Arial" w:cs="Arial"/>
                <w:sz w:val="24"/>
              </w:rPr>
              <w:t xml:space="preserve"> clause 2 of part 1 of schedule 3 and </w:t>
            </w:r>
            <w:r w:rsidR="00AD29AE" w:rsidRPr="004C3841">
              <w:rPr>
                <w:rFonts w:ascii="Arial" w:hAnsi="Arial" w:cs="Arial"/>
                <w:sz w:val="24"/>
              </w:rPr>
              <w:t xml:space="preserve">in </w:t>
            </w:r>
            <w:r w:rsidRPr="004C3841">
              <w:rPr>
                <w:rFonts w:ascii="Arial" w:hAnsi="Arial" w:cs="Arial"/>
                <w:sz w:val="24"/>
              </w:rPr>
              <w:t xml:space="preserve">clause 1 of parts 3, 4 and 5 of schedule 3 of </w:t>
            </w:r>
            <w:proofErr w:type="spellStart"/>
            <w:r w:rsidRPr="004C3841">
              <w:rPr>
                <w:rFonts w:ascii="Arial" w:hAnsi="Arial" w:cs="Arial"/>
                <w:sz w:val="24"/>
              </w:rPr>
              <w:t>MoDA</w:t>
            </w:r>
            <w:proofErr w:type="spellEnd"/>
            <w:r w:rsidRPr="004C3841">
              <w:rPr>
                <w:rFonts w:ascii="Arial" w:hAnsi="Arial" w:cs="Arial"/>
                <w:sz w:val="24"/>
              </w:rPr>
              <w:t xml:space="preserve">. </w:t>
            </w:r>
            <w:r w:rsidR="004C7B7A" w:rsidRPr="004C3841">
              <w:rPr>
                <w:rFonts w:ascii="Arial" w:hAnsi="Arial" w:cs="Arial"/>
                <w:sz w:val="24"/>
              </w:rPr>
              <w:t>[</w:t>
            </w:r>
            <w:proofErr w:type="gramStart"/>
            <w:r w:rsidR="004C7B7A" w:rsidRPr="004C3841">
              <w:rPr>
                <w:rFonts w:ascii="Arial" w:hAnsi="Arial" w:cs="Arial"/>
                <w:sz w:val="24"/>
              </w:rPr>
              <w:t>redacted</w:t>
            </w:r>
            <w:proofErr w:type="gramEnd"/>
            <w:r w:rsidR="004C7B7A" w:rsidRPr="004C3841">
              <w:rPr>
                <w:rFonts w:ascii="Arial" w:hAnsi="Arial" w:cs="Arial"/>
                <w:sz w:val="24"/>
              </w:rPr>
              <w:t>]</w:t>
            </w:r>
            <w:r w:rsidR="00AD29AE" w:rsidRPr="004C3841">
              <w:rPr>
                <w:rFonts w:ascii="Arial" w:hAnsi="Arial" w:cs="Arial"/>
                <w:sz w:val="24"/>
              </w:rPr>
              <w:t xml:space="preserve"> explained the application of these inclusions.</w:t>
            </w:r>
            <w:r w:rsidR="00955FBC" w:rsidRPr="004C3841">
              <w:rPr>
                <w:rFonts w:ascii="Arial" w:hAnsi="Arial" w:cs="Arial"/>
                <w:sz w:val="24"/>
              </w:rPr>
              <w:t xml:space="preserve"> </w:t>
            </w:r>
            <w:r w:rsidRPr="004C3841">
              <w:rPr>
                <w:rFonts w:ascii="Arial" w:hAnsi="Arial" w:cs="Arial"/>
                <w:sz w:val="24"/>
              </w:rPr>
              <w:t xml:space="preserve">This is because these </w:t>
            </w:r>
            <w:r w:rsidR="00AD29AE" w:rsidRPr="004C3841">
              <w:rPr>
                <w:rFonts w:ascii="Arial" w:hAnsi="Arial" w:cs="Arial"/>
                <w:sz w:val="24"/>
              </w:rPr>
              <w:t xml:space="preserve">forms or derivatives </w:t>
            </w:r>
            <w:r w:rsidRPr="004C3841">
              <w:rPr>
                <w:rFonts w:ascii="Arial" w:hAnsi="Arial" w:cs="Arial"/>
                <w:sz w:val="24"/>
              </w:rPr>
              <w:t>are easily converted to the parent substance.</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 xml:space="preserve">The analogue provisions of </w:t>
            </w:r>
            <w:proofErr w:type="spellStart"/>
            <w:r w:rsidRPr="004C3841">
              <w:rPr>
                <w:rFonts w:ascii="Arial" w:hAnsi="Arial" w:cs="Arial"/>
                <w:sz w:val="24"/>
              </w:rPr>
              <w:t>MoDA</w:t>
            </w:r>
            <w:proofErr w:type="spellEnd"/>
            <w:r w:rsidRPr="004C3841">
              <w:rPr>
                <w:rFonts w:ascii="Arial" w:hAnsi="Arial" w:cs="Arial"/>
                <w:sz w:val="24"/>
              </w:rPr>
              <w:t xml:space="preserve"> </w:t>
            </w:r>
            <w:r w:rsidR="00EA60CA" w:rsidRPr="004C3841">
              <w:rPr>
                <w:rFonts w:ascii="Arial" w:hAnsi="Arial" w:cs="Arial"/>
                <w:sz w:val="24"/>
              </w:rPr>
              <w:t>apply to</w:t>
            </w:r>
            <w:r w:rsidRPr="004C3841">
              <w:rPr>
                <w:rFonts w:ascii="Arial" w:hAnsi="Arial" w:cs="Arial"/>
                <w:sz w:val="24"/>
              </w:rPr>
              <w:t xml:space="preserve"> structures that are substantially similar to that of any controlled drug. This provision is much less clearly defined than the provisions described above, but the important point to note is that this provision is based on structural similarity alone. If a substance is deemed to be of sufficient </w:t>
            </w:r>
            <w:r w:rsidRPr="004C3841">
              <w:rPr>
                <w:rFonts w:ascii="Arial" w:hAnsi="Arial" w:cs="Arial"/>
                <w:sz w:val="24"/>
              </w:rPr>
              <w:lastRenderedPageBreak/>
              <w:t xml:space="preserve">structural similarity to a controlled drug, it is subject to regulation under </w:t>
            </w:r>
            <w:proofErr w:type="spellStart"/>
            <w:r w:rsidRPr="004C3841">
              <w:rPr>
                <w:rFonts w:ascii="Arial" w:hAnsi="Arial" w:cs="Arial"/>
                <w:sz w:val="24"/>
              </w:rPr>
              <w:t>MoDA</w:t>
            </w:r>
            <w:proofErr w:type="spellEnd"/>
            <w:r w:rsidR="00EA60CA" w:rsidRPr="004C3841">
              <w:rPr>
                <w:rFonts w:ascii="Arial" w:hAnsi="Arial" w:cs="Arial"/>
                <w:sz w:val="24"/>
              </w:rPr>
              <w:t xml:space="preserve"> as a Class C controlled drug</w:t>
            </w:r>
            <w:r w:rsidRPr="004C3841">
              <w:rPr>
                <w:rFonts w:ascii="Arial" w:hAnsi="Arial" w:cs="Arial"/>
                <w:sz w:val="24"/>
              </w:rPr>
              <w:t>, irrespective of whether there is evidence of harm</w:t>
            </w:r>
            <w:r w:rsidR="00EA60CA" w:rsidRPr="004C3841">
              <w:rPr>
                <w:rFonts w:ascii="Arial" w:hAnsi="Arial" w:cs="Arial"/>
                <w:sz w:val="24"/>
              </w:rPr>
              <w:t xml:space="preserve"> and irrespective of the classification of the listed controlled drug. This constitutes a </w:t>
            </w:r>
            <w:r w:rsidR="00D53AFC" w:rsidRPr="004C3841">
              <w:rPr>
                <w:rFonts w:ascii="Arial" w:hAnsi="Arial" w:cs="Arial"/>
                <w:sz w:val="24"/>
              </w:rPr>
              <w:t>‘safety net’ provision and was introduced as a means to counter the trend for the appearance of variants of known sought-after drugs</w:t>
            </w:r>
            <w:r w:rsidRPr="004C3841">
              <w:rPr>
                <w:rFonts w:ascii="Arial" w:hAnsi="Arial" w:cs="Arial"/>
                <w:sz w:val="24"/>
              </w:rPr>
              <w:t>.</w:t>
            </w:r>
            <w:r w:rsidR="00D53AFC" w:rsidRPr="004C3841">
              <w:rPr>
                <w:rFonts w:ascii="Arial" w:hAnsi="Arial" w:cs="Arial"/>
                <w:sz w:val="24"/>
              </w:rPr>
              <w:t xml:space="preserve"> This was prior to the introduction of the Psychoactive Substances regime.</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i/>
                <w:sz w:val="24"/>
              </w:rPr>
            </w:pPr>
            <w:r w:rsidRPr="004C3841">
              <w:rPr>
                <w:rFonts w:ascii="Arial" w:hAnsi="Arial" w:cs="Arial"/>
                <w:i/>
                <w:sz w:val="24"/>
              </w:rPr>
              <w:t>11.1 Phenethylamine</w:t>
            </w: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 xml:space="preserve">The Secretariat gave a brief overview providing preliminary information in consideration of scheduling phenethylamine or the substituted phenethylamines as precursor substances under </w:t>
            </w:r>
            <w:proofErr w:type="spellStart"/>
            <w:r w:rsidRPr="004C3841">
              <w:rPr>
                <w:rFonts w:ascii="Arial" w:hAnsi="Arial" w:cs="Arial"/>
                <w:sz w:val="24"/>
              </w:rPr>
              <w:t>MoDA</w:t>
            </w:r>
            <w:proofErr w:type="spellEnd"/>
            <w:r w:rsidRPr="004C3841">
              <w:rPr>
                <w:rFonts w:ascii="Arial" w:hAnsi="Arial" w:cs="Arial"/>
                <w:sz w:val="24"/>
              </w:rPr>
              <w:t>. Phenethylamine, though very structurally similar to a number of analogues, is hard to convert and is, therefore, not of concern from a regulatory perspective.</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b/>
                <w:sz w:val="24"/>
              </w:rPr>
              <w:t xml:space="preserve">Outcome: </w:t>
            </w:r>
            <w:r w:rsidR="004C7B7A" w:rsidRPr="004C3841">
              <w:rPr>
                <w:rFonts w:ascii="Arial" w:hAnsi="Arial" w:cs="Arial"/>
                <w:sz w:val="24"/>
              </w:rPr>
              <w:t>[redacted]</w:t>
            </w:r>
            <w:r w:rsidRPr="004C3841">
              <w:rPr>
                <w:rFonts w:ascii="Arial" w:hAnsi="Arial" w:cs="Arial"/>
                <w:sz w:val="24"/>
              </w:rPr>
              <w:t xml:space="preserve"> advised that the vast majority of substituted phenethylamines would already fall under Class C of </w:t>
            </w:r>
            <w:proofErr w:type="spellStart"/>
            <w:r w:rsidRPr="004C3841">
              <w:rPr>
                <w:rFonts w:ascii="Arial" w:hAnsi="Arial" w:cs="Arial"/>
                <w:sz w:val="24"/>
              </w:rPr>
              <w:t>MoDA</w:t>
            </w:r>
            <w:proofErr w:type="spellEnd"/>
            <w:r w:rsidRPr="004C3841">
              <w:rPr>
                <w:rFonts w:ascii="Arial" w:hAnsi="Arial" w:cs="Arial"/>
                <w:sz w:val="24"/>
              </w:rPr>
              <w:t xml:space="preserve"> as amphetamine analogues, so do not require scheduling. The Committee agreed.</w:t>
            </w:r>
          </w:p>
          <w:p w:rsidR="007F6F56" w:rsidRPr="004C3841" w:rsidRDefault="007F6F56" w:rsidP="00127C00">
            <w:pPr>
              <w:tabs>
                <w:tab w:val="right" w:leader="underscore" w:pos="5670"/>
                <w:tab w:val="left" w:pos="6237"/>
              </w:tabs>
              <w:rPr>
                <w:rFonts w:ascii="Arial" w:hAnsi="Arial" w:cs="Arial"/>
                <w:b/>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b/>
                <w:sz w:val="24"/>
              </w:rPr>
              <w:t>Action:</w:t>
            </w:r>
            <w:r w:rsidRPr="004C3841">
              <w:rPr>
                <w:rFonts w:ascii="Arial" w:hAnsi="Arial" w:cs="Arial"/>
                <w:sz w:val="24"/>
              </w:rPr>
              <w:t xml:space="preserve"> The Secretariat will monitor the substituted phenethylamines that are brought to their attention (via Customs and Police for example) to see which ones aren’t captured by the Psychoactive Substances Act or the Class C amphetamine analogues under </w:t>
            </w:r>
            <w:proofErr w:type="spellStart"/>
            <w:r w:rsidRPr="004C3841">
              <w:rPr>
                <w:rFonts w:ascii="Arial" w:hAnsi="Arial" w:cs="Arial"/>
                <w:sz w:val="24"/>
              </w:rPr>
              <w:t>MoDA</w:t>
            </w:r>
            <w:proofErr w:type="spellEnd"/>
            <w:r w:rsidRPr="004C3841">
              <w:rPr>
                <w:rFonts w:ascii="Arial" w:hAnsi="Arial" w:cs="Arial"/>
                <w:sz w:val="24"/>
              </w:rPr>
              <w:t>. The Committee may choose to consider any substituted phenethylamines that are not captured under the Psy</w:t>
            </w:r>
            <w:r w:rsidR="00A30BEB" w:rsidRPr="004C3841">
              <w:rPr>
                <w:rFonts w:ascii="Arial" w:hAnsi="Arial" w:cs="Arial"/>
                <w:sz w:val="24"/>
              </w:rPr>
              <w:t xml:space="preserve">choactive Substances Act or </w:t>
            </w:r>
            <w:proofErr w:type="spellStart"/>
            <w:r w:rsidR="00A30BEB" w:rsidRPr="004C3841">
              <w:rPr>
                <w:rFonts w:ascii="Arial" w:hAnsi="Arial" w:cs="Arial"/>
                <w:sz w:val="24"/>
              </w:rPr>
              <w:t>MoDA</w:t>
            </w:r>
            <w:proofErr w:type="spellEnd"/>
            <w:r w:rsidRPr="004C3841">
              <w:rPr>
                <w:rFonts w:ascii="Arial" w:hAnsi="Arial" w:cs="Arial"/>
                <w:sz w:val="24"/>
              </w:rPr>
              <w:t xml:space="preserve"> for scheduling under </w:t>
            </w:r>
            <w:proofErr w:type="spellStart"/>
            <w:r w:rsidRPr="004C3841">
              <w:rPr>
                <w:rFonts w:ascii="Arial" w:hAnsi="Arial" w:cs="Arial"/>
                <w:sz w:val="24"/>
              </w:rPr>
              <w:t>MoDA</w:t>
            </w:r>
            <w:proofErr w:type="spellEnd"/>
            <w:r w:rsidRPr="004C3841">
              <w:rPr>
                <w:rFonts w:ascii="Arial" w:hAnsi="Arial" w:cs="Arial"/>
                <w:sz w:val="24"/>
              </w:rPr>
              <w:t xml:space="preserve"> at a later date.</w:t>
            </w:r>
          </w:p>
          <w:p w:rsidR="007F6F56" w:rsidRPr="004C3841" w:rsidRDefault="007F6F56" w:rsidP="00127C00">
            <w:pPr>
              <w:tabs>
                <w:tab w:val="right" w:leader="underscore" w:pos="5670"/>
                <w:tab w:val="left" w:pos="6237"/>
              </w:tabs>
              <w:rPr>
                <w:rFonts w:ascii="Arial" w:hAnsi="Arial" w:cs="Arial"/>
                <w:sz w:val="24"/>
              </w:rPr>
            </w:pPr>
          </w:p>
        </w:tc>
      </w:tr>
      <w:tr w:rsidR="007F6F56" w:rsidRPr="004C3841" w:rsidTr="00127C00">
        <w:tc>
          <w:tcPr>
            <w:tcW w:w="720" w:type="dxa"/>
          </w:tcPr>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lastRenderedPageBreak/>
              <w:t>12</w:t>
            </w:r>
          </w:p>
        </w:tc>
        <w:tc>
          <w:tcPr>
            <w:tcW w:w="9180" w:type="dxa"/>
          </w:tcPr>
          <w:p w:rsidR="007F6F56" w:rsidRPr="004C3841" w:rsidRDefault="007F6F56" w:rsidP="00127C00">
            <w:pPr>
              <w:tabs>
                <w:tab w:val="right" w:leader="underscore" w:pos="5670"/>
                <w:tab w:val="left" w:pos="6237"/>
              </w:tabs>
              <w:rPr>
                <w:rFonts w:ascii="Arial" w:hAnsi="Arial" w:cs="Arial"/>
                <w:b/>
                <w:sz w:val="24"/>
              </w:rPr>
            </w:pPr>
            <w:proofErr w:type="spellStart"/>
            <w:r w:rsidRPr="004C3841">
              <w:rPr>
                <w:rFonts w:ascii="Arial" w:hAnsi="Arial" w:cs="Arial"/>
                <w:b/>
                <w:sz w:val="24"/>
              </w:rPr>
              <w:t>NBOMe</w:t>
            </w:r>
            <w:proofErr w:type="spellEnd"/>
          </w:p>
          <w:p w:rsidR="007F6F56" w:rsidRPr="004C3841" w:rsidRDefault="007F6F56" w:rsidP="00127C00">
            <w:pPr>
              <w:tabs>
                <w:tab w:val="right" w:leader="underscore" w:pos="5670"/>
                <w:tab w:val="left" w:pos="6237"/>
              </w:tabs>
              <w:rPr>
                <w:rFonts w:ascii="Arial" w:hAnsi="Arial" w:cs="Arial"/>
                <w:i/>
                <w:sz w:val="24"/>
              </w:rPr>
            </w:pPr>
            <w:r w:rsidRPr="004C3841">
              <w:rPr>
                <w:rFonts w:ascii="Arial" w:hAnsi="Arial" w:cs="Arial"/>
                <w:i/>
                <w:sz w:val="24"/>
              </w:rPr>
              <w:t>12.1 Update paper</w:t>
            </w: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 xml:space="preserve">The Committee agreed at the previous meeting to a provisional recommendation that 25B-NBOMe, 25C-NBOMe and 25I-NBOMe be classified as Schedule 2, Part 1 (Class B1) under </w:t>
            </w:r>
            <w:proofErr w:type="spellStart"/>
            <w:r w:rsidRPr="004C3841">
              <w:rPr>
                <w:rFonts w:ascii="Arial" w:hAnsi="Arial" w:cs="Arial"/>
                <w:sz w:val="24"/>
              </w:rPr>
              <w:t>MoDA</w:t>
            </w:r>
            <w:proofErr w:type="spellEnd"/>
            <w:r w:rsidRPr="004C3841">
              <w:rPr>
                <w:rFonts w:ascii="Arial" w:hAnsi="Arial" w:cs="Arial"/>
                <w:sz w:val="24"/>
              </w:rPr>
              <w:t xml:space="preserve"> subject to consideration of any further information available on teratogenicity, international controls around </w:t>
            </w:r>
            <w:proofErr w:type="spellStart"/>
            <w:r w:rsidRPr="004C3841">
              <w:rPr>
                <w:rFonts w:ascii="Arial" w:hAnsi="Arial" w:cs="Arial"/>
                <w:sz w:val="24"/>
              </w:rPr>
              <w:t>NBOMes</w:t>
            </w:r>
            <w:proofErr w:type="spellEnd"/>
            <w:r w:rsidRPr="004C3841">
              <w:rPr>
                <w:rFonts w:ascii="Arial" w:hAnsi="Arial" w:cs="Arial"/>
                <w:sz w:val="24"/>
              </w:rPr>
              <w:t xml:space="preserve"> and the prevalence of </w:t>
            </w:r>
            <w:proofErr w:type="spellStart"/>
            <w:r w:rsidRPr="004C3841">
              <w:rPr>
                <w:rFonts w:ascii="Arial" w:hAnsi="Arial" w:cs="Arial"/>
                <w:sz w:val="24"/>
              </w:rPr>
              <w:t>NBOMe</w:t>
            </w:r>
            <w:proofErr w:type="spellEnd"/>
            <w:r w:rsidRPr="004C3841">
              <w:rPr>
                <w:rFonts w:ascii="Arial" w:hAnsi="Arial" w:cs="Arial"/>
                <w:sz w:val="24"/>
              </w:rPr>
              <w:t xml:space="preserve"> use in New Zealand before making a final classification decision. The update paper included additional information on teratogenicity and international classification and experience in other jurisdictions. No further information on the prevalence of use in New Zealand was available.</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i/>
                <w:sz w:val="24"/>
              </w:rPr>
            </w:pPr>
            <w:r w:rsidRPr="004C3841">
              <w:rPr>
                <w:rFonts w:ascii="Arial" w:hAnsi="Arial" w:cs="Arial"/>
                <w:i/>
                <w:sz w:val="24"/>
              </w:rPr>
              <w:t>12.2 Group classification and presumption for supply</w:t>
            </w:r>
          </w:p>
          <w:p w:rsidR="007F6F56" w:rsidRPr="004C3841" w:rsidRDefault="004C7B7A" w:rsidP="00127C00">
            <w:pPr>
              <w:tabs>
                <w:tab w:val="right" w:leader="underscore" w:pos="5670"/>
                <w:tab w:val="left" w:pos="6237"/>
              </w:tabs>
              <w:rPr>
                <w:rFonts w:ascii="Arial" w:hAnsi="Arial" w:cs="Arial"/>
                <w:sz w:val="24"/>
              </w:rPr>
            </w:pPr>
            <w:r w:rsidRPr="004C3841">
              <w:rPr>
                <w:rFonts w:ascii="Arial" w:hAnsi="Arial" w:cs="Arial"/>
                <w:sz w:val="24"/>
              </w:rPr>
              <w:t>[</w:t>
            </w:r>
            <w:proofErr w:type="gramStart"/>
            <w:r w:rsidRPr="004C3841">
              <w:rPr>
                <w:rFonts w:ascii="Arial" w:hAnsi="Arial" w:cs="Arial"/>
                <w:sz w:val="24"/>
              </w:rPr>
              <w:t>redacted</w:t>
            </w:r>
            <w:proofErr w:type="gramEnd"/>
            <w:r w:rsidRPr="004C3841">
              <w:rPr>
                <w:rFonts w:ascii="Arial" w:hAnsi="Arial" w:cs="Arial"/>
                <w:sz w:val="24"/>
              </w:rPr>
              <w:t>]</w:t>
            </w:r>
            <w:r w:rsidR="007F6F56" w:rsidRPr="004C3841">
              <w:rPr>
                <w:rFonts w:ascii="Arial" w:hAnsi="Arial" w:cs="Arial"/>
                <w:sz w:val="24"/>
              </w:rPr>
              <w:t xml:space="preserve"> spoke to the “Proposed Classification of </w:t>
            </w:r>
            <w:proofErr w:type="spellStart"/>
            <w:r w:rsidR="007F6F56" w:rsidRPr="004C3841">
              <w:rPr>
                <w:rFonts w:ascii="Arial" w:hAnsi="Arial" w:cs="Arial"/>
                <w:sz w:val="24"/>
              </w:rPr>
              <w:t>NBOMe</w:t>
            </w:r>
            <w:proofErr w:type="spellEnd"/>
            <w:r w:rsidR="007F6F56" w:rsidRPr="004C3841">
              <w:rPr>
                <w:rFonts w:ascii="Arial" w:hAnsi="Arial" w:cs="Arial"/>
                <w:sz w:val="24"/>
              </w:rPr>
              <w:t xml:space="preserve"> series substances under the NZ Misuse of Drugs Act” paper which provided two options around the scheduling of the </w:t>
            </w:r>
            <w:proofErr w:type="spellStart"/>
            <w:r w:rsidR="007F6F56" w:rsidRPr="004C3841">
              <w:rPr>
                <w:rFonts w:ascii="Arial" w:hAnsi="Arial" w:cs="Arial"/>
                <w:sz w:val="24"/>
              </w:rPr>
              <w:t>NBOMe</w:t>
            </w:r>
            <w:proofErr w:type="spellEnd"/>
            <w:r w:rsidR="007F6F56" w:rsidRPr="004C3841">
              <w:rPr>
                <w:rFonts w:ascii="Arial" w:hAnsi="Arial" w:cs="Arial"/>
                <w:sz w:val="24"/>
              </w:rPr>
              <w:t xml:space="preserve"> drug family. </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rPr>
                <w:rFonts w:ascii="Arial" w:hAnsi="Arial" w:cs="Arial"/>
                <w:sz w:val="24"/>
              </w:rPr>
            </w:pPr>
            <w:r w:rsidRPr="004C3841">
              <w:rPr>
                <w:rFonts w:ascii="Arial" w:hAnsi="Arial" w:cs="Arial"/>
                <w:sz w:val="24"/>
              </w:rPr>
              <w:t>Option one:</w:t>
            </w:r>
          </w:p>
          <w:p w:rsidR="007F6F56" w:rsidRPr="004C3841" w:rsidRDefault="007F6F56" w:rsidP="00127C00">
            <w:pPr>
              <w:rPr>
                <w:rFonts w:ascii="Arial" w:hAnsi="Arial" w:cs="Arial"/>
                <w:sz w:val="24"/>
              </w:rPr>
            </w:pPr>
            <w:proofErr w:type="spellStart"/>
            <w:r w:rsidRPr="004C3841">
              <w:rPr>
                <w:rFonts w:ascii="Arial" w:hAnsi="Arial" w:cs="Arial"/>
                <w:b/>
                <w:sz w:val="24"/>
              </w:rPr>
              <w:t>NBOMe</w:t>
            </w:r>
            <w:proofErr w:type="spellEnd"/>
            <w:r w:rsidRPr="004C3841">
              <w:rPr>
                <w:rFonts w:ascii="Arial" w:hAnsi="Arial" w:cs="Arial"/>
                <w:b/>
                <w:sz w:val="24"/>
              </w:rPr>
              <w:t xml:space="preserve"> series substances</w:t>
            </w:r>
            <w:r w:rsidRPr="004C3841">
              <w:rPr>
                <w:rFonts w:ascii="Arial" w:hAnsi="Arial" w:cs="Arial"/>
                <w:sz w:val="24"/>
              </w:rPr>
              <w:t xml:space="preserve">: Any substance, not otherwise listed, which contains a phenyl ring-substituted </w:t>
            </w:r>
            <w:proofErr w:type="spellStart"/>
            <w:r w:rsidRPr="004C3841">
              <w:rPr>
                <w:rFonts w:ascii="Arial" w:hAnsi="Arial" w:cs="Arial"/>
                <w:sz w:val="24"/>
              </w:rPr>
              <w:t>dimethoxyphenethylamine</w:t>
            </w:r>
            <w:proofErr w:type="spellEnd"/>
            <w:r w:rsidRPr="004C3841">
              <w:rPr>
                <w:rFonts w:ascii="Arial" w:hAnsi="Arial" w:cs="Arial"/>
                <w:sz w:val="24"/>
              </w:rPr>
              <w:t xml:space="preserve"> nucleus that is also substituted at the nitrogen atom of the amino group with a benzyl substituent. Either or both benzene rings may also carry one or more of the following radicals:</w:t>
            </w:r>
          </w:p>
          <w:p w:rsidR="007F6F56" w:rsidRPr="004C3841" w:rsidRDefault="007F6F56" w:rsidP="00127C00">
            <w:pPr>
              <w:ind w:left="720"/>
              <w:rPr>
                <w:rFonts w:ascii="Arial" w:hAnsi="Arial" w:cs="Arial"/>
                <w:sz w:val="24"/>
              </w:rPr>
            </w:pPr>
            <w:proofErr w:type="gramStart"/>
            <w:r w:rsidRPr="004C3841">
              <w:rPr>
                <w:rFonts w:ascii="Arial" w:hAnsi="Arial" w:cs="Arial"/>
                <w:sz w:val="24"/>
              </w:rPr>
              <w:t>alkyl</w:t>
            </w:r>
            <w:proofErr w:type="gramEnd"/>
            <w:r w:rsidRPr="004C3841">
              <w:rPr>
                <w:rFonts w:ascii="Arial" w:hAnsi="Arial" w:cs="Arial"/>
                <w:sz w:val="24"/>
              </w:rPr>
              <w:t xml:space="preserve"> (containing up to six carbon atoms), or </w:t>
            </w:r>
            <w:proofErr w:type="spellStart"/>
            <w:r w:rsidRPr="004C3841">
              <w:rPr>
                <w:rFonts w:ascii="Arial" w:hAnsi="Arial" w:cs="Arial"/>
                <w:sz w:val="24"/>
              </w:rPr>
              <w:t>alkoxy</w:t>
            </w:r>
            <w:proofErr w:type="spellEnd"/>
            <w:r w:rsidRPr="004C3841">
              <w:rPr>
                <w:rFonts w:ascii="Arial" w:hAnsi="Arial" w:cs="Arial"/>
                <w:sz w:val="24"/>
              </w:rPr>
              <w:t xml:space="preserve"> (containing up to six carbon atoms), or </w:t>
            </w:r>
            <w:proofErr w:type="spellStart"/>
            <w:r w:rsidRPr="004C3841">
              <w:rPr>
                <w:rFonts w:ascii="Arial" w:hAnsi="Arial" w:cs="Arial"/>
                <w:sz w:val="24"/>
              </w:rPr>
              <w:t>alkylamino</w:t>
            </w:r>
            <w:proofErr w:type="spellEnd"/>
            <w:r w:rsidRPr="004C3841">
              <w:rPr>
                <w:rFonts w:ascii="Arial" w:hAnsi="Arial" w:cs="Arial"/>
                <w:sz w:val="24"/>
              </w:rPr>
              <w:t xml:space="preserve"> (containing up to 6 carbon atoms), or </w:t>
            </w:r>
            <w:proofErr w:type="spellStart"/>
            <w:r w:rsidRPr="004C3841">
              <w:rPr>
                <w:rFonts w:ascii="Arial" w:hAnsi="Arial" w:cs="Arial"/>
                <w:sz w:val="24"/>
              </w:rPr>
              <w:t>alkylthio</w:t>
            </w:r>
            <w:proofErr w:type="spellEnd"/>
            <w:r w:rsidRPr="004C3841">
              <w:rPr>
                <w:rFonts w:ascii="Arial" w:hAnsi="Arial" w:cs="Arial"/>
                <w:sz w:val="24"/>
              </w:rPr>
              <w:t xml:space="preserve"> (containing up to 6 carbon atoms), or halogen, or nitro.</w:t>
            </w:r>
          </w:p>
          <w:p w:rsidR="007F6F56" w:rsidRPr="004C3841" w:rsidRDefault="007F6F56" w:rsidP="00127C00">
            <w:pPr>
              <w:ind w:left="720"/>
              <w:rPr>
                <w:rFonts w:ascii="Arial" w:hAnsi="Arial" w:cs="Arial"/>
                <w:sz w:val="24"/>
              </w:rPr>
            </w:pPr>
          </w:p>
          <w:p w:rsidR="007F6F56" w:rsidRPr="004C3841" w:rsidRDefault="007F6F56" w:rsidP="00127C00">
            <w:pPr>
              <w:rPr>
                <w:rFonts w:ascii="Arial" w:hAnsi="Arial" w:cs="Arial"/>
                <w:sz w:val="24"/>
              </w:rPr>
            </w:pPr>
            <w:r w:rsidRPr="004C3841">
              <w:rPr>
                <w:rFonts w:ascii="Arial" w:hAnsi="Arial" w:cs="Arial"/>
                <w:sz w:val="24"/>
              </w:rPr>
              <w:t xml:space="preserve">This proposed listing would cover a very broad range of </w:t>
            </w:r>
            <w:proofErr w:type="spellStart"/>
            <w:r w:rsidRPr="004C3841">
              <w:rPr>
                <w:rFonts w:ascii="Arial" w:hAnsi="Arial" w:cs="Arial"/>
                <w:sz w:val="24"/>
              </w:rPr>
              <w:t>NBOMe</w:t>
            </w:r>
            <w:proofErr w:type="spellEnd"/>
            <w:r w:rsidRPr="004C3841">
              <w:rPr>
                <w:rFonts w:ascii="Arial" w:hAnsi="Arial" w:cs="Arial"/>
                <w:sz w:val="24"/>
              </w:rPr>
              <w:t xml:space="preserve"> and closely-related substances but not all of those listed in the 23 October 2014 EACD paper (e.g. 2CBFly-NBOMe, 2CBCB-NBOMe, 25G-NBOMe would not be included). However, these and other similar substances would still be included in the </w:t>
            </w:r>
            <w:r w:rsidRPr="004C3841">
              <w:rPr>
                <w:rFonts w:ascii="Arial" w:hAnsi="Arial" w:cs="Arial"/>
                <w:sz w:val="24"/>
              </w:rPr>
              <w:lastRenderedPageBreak/>
              <w:t>Controlled Drug Analogue “safety net” and would be Class C Controlled Drugs as having “…a structure substantially similar to that of any controlled drug”.</w:t>
            </w:r>
          </w:p>
          <w:p w:rsidR="007F6F56" w:rsidRPr="004C3841" w:rsidRDefault="007F6F56" w:rsidP="00127C00">
            <w:pPr>
              <w:rPr>
                <w:rFonts w:ascii="Arial" w:hAnsi="Arial" w:cs="Arial"/>
                <w:sz w:val="24"/>
              </w:rPr>
            </w:pPr>
          </w:p>
          <w:p w:rsidR="007F6F56" w:rsidRPr="004C3841" w:rsidRDefault="007F6F56" w:rsidP="00127C00">
            <w:pPr>
              <w:rPr>
                <w:rFonts w:ascii="Arial" w:hAnsi="Arial" w:cs="Arial"/>
                <w:sz w:val="24"/>
              </w:rPr>
            </w:pPr>
            <w:r w:rsidRPr="004C3841">
              <w:rPr>
                <w:rFonts w:ascii="Arial" w:hAnsi="Arial" w:cs="Arial"/>
                <w:sz w:val="24"/>
              </w:rPr>
              <w:t>Option two:</w:t>
            </w:r>
          </w:p>
          <w:p w:rsidR="007F6F56" w:rsidRPr="004C3841" w:rsidRDefault="007F6F56" w:rsidP="00127C00">
            <w:pPr>
              <w:rPr>
                <w:rFonts w:ascii="Arial" w:hAnsi="Arial" w:cs="Arial"/>
                <w:sz w:val="24"/>
              </w:rPr>
            </w:pPr>
            <w:proofErr w:type="spellStart"/>
            <w:r w:rsidRPr="004C3841">
              <w:rPr>
                <w:rFonts w:ascii="Arial" w:hAnsi="Arial" w:cs="Arial"/>
                <w:b/>
                <w:sz w:val="24"/>
              </w:rPr>
              <w:t>NBOMe</w:t>
            </w:r>
            <w:proofErr w:type="spellEnd"/>
            <w:r w:rsidRPr="004C3841">
              <w:rPr>
                <w:rFonts w:ascii="Arial" w:hAnsi="Arial" w:cs="Arial"/>
                <w:b/>
                <w:sz w:val="24"/>
              </w:rPr>
              <w:t xml:space="preserve"> series substances</w:t>
            </w:r>
            <w:r w:rsidRPr="004C3841">
              <w:rPr>
                <w:rFonts w:ascii="Arial" w:hAnsi="Arial" w:cs="Arial"/>
                <w:sz w:val="24"/>
              </w:rPr>
              <w:t>: Any substance, not otherwise listed, which contains a 2,5-dimethoxyphenethylamine nucleus carrying any one of the following radicals, in the 4-position on the benzene ring:</w:t>
            </w:r>
          </w:p>
          <w:p w:rsidR="007F6F56" w:rsidRPr="004C3841" w:rsidRDefault="007F6F56" w:rsidP="00127C00">
            <w:pPr>
              <w:ind w:left="720"/>
              <w:rPr>
                <w:rFonts w:ascii="Arial" w:hAnsi="Arial" w:cs="Arial"/>
                <w:sz w:val="24"/>
              </w:rPr>
            </w:pPr>
            <w:r w:rsidRPr="004C3841">
              <w:rPr>
                <w:rFonts w:ascii="Arial" w:hAnsi="Arial" w:cs="Arial"/>
                <w:sz w:val="24"/>
              </w:rPr>
              <w:t xml:space="preserve">hydrogen, or alkyl (containing up to six carbon atoms), or </w:t>
            </w:r>
            <w:proofErr w:type="spellStart"/>
            <w:r w:rsidRPr="004C3841">
              <w:rPr>
                <w:rFonts w:ascii="Arial" w:hAnsi="Arial" w:cs="Arial"/>
                <w:sz w:val="24"/>
              </w:rPr>
              <w:t>alkoxy</w:t>
            </w:r>
            <w:proofErr w:type="spellEnd"/>
            <w:r w:rsidRPr="004C3841">
              <w:rPr>
                <w:rFonts w:ascii="Arial" w:hAnsi="Arial" w:cs="Arial"/>
                <w:sz w:val="24"/>
              </w:rPr>
              <w:t xml:space="preserve"> (containing up to six carbon atoms), or </w:t>
            </w:r>
            <w:proofErr w:type="spellStart"/>
            <w:r w:rsidRPr="004C3841">
              <w:rPr>
                <w:rFonts w:ascii="Arial" w:hAnsi="Arial" w:cs="Arial"/>
                <w:sz w:val="24"/>
              </w:rPr>
              <w:t>alkylamino</w:t>
            </w:r>
            <w:proofErr w:type="spellEnd"/>
            <w:r w:rsidRPr="004C3841">
              <w:rPr>
                <w:rFonts w:ascii="Arial" w:hAnsi="Arial" w:cs="Arial"/>
                <w:sz w:val="24"/>
              </w:rPr>
              <w:t xml:space="preserve"> (containing up to 6 carbon atoms), or </w:t>
            </w:r>
            <w:proofErr w:type="spellStart"/>
            <w:r w:rsidRPr="004C3841">
              <w:rPr>
                <w:rFonts w:ascii="Arial" w:hAnsi="Arial" w:cs="Arial"/>
                <w:sz w:val="24"/>
              </w:rPr>
              <w:t>alkylthio</w:t>
            </w:r>
            <w:proofErr w:type="spellEnd"/>
            <w:r w:rsidRPr="004C3841">
              <w:rPr>
                <w:rFonts w:ascii="Arial" w:hAnsi="Arial" w:cs="Arial"/>
                <w:sz w:val="24"/>
              </w:rPr>
              <w:t xml:space="preserve"> (containing up to 6 carbon atoms), or halogen, or nitro; </w:t>
            </w:r>
          </w:p>
          <w:p w:rsidR="007F6F56" w:rsidRPr="004C3841" w:rsidRDefault="007F6F56" w:rsidP="00127C00">
            <w:pPr>
              <w:rPr>
                <w:rFonts w:ascii="Arial" w:hAnsi="Arial" w:cs="Arial"/>
                <w:sz w:val="24"/>
              </w:rPr>
            </w:pPr>
            <w:r w:rsidRPr="004C3841">
              <w:rPr>
                <w:rFonts w:ascii="Arial" w:hAnsi="Arial" w:cs="Arial"/>
                <w:sz w:val="24"/>
              </w:rPr>
              <w:t xml:space="preserve">and in addition, </w:t>
            </w:r>
          </w:p>
          <w:p w:rsidR="007F6F56" w:rsidRPr="004C3841" w:rsidRDefault="007F6F56" w:rsidP="00127C00">
            <w:pPr>
              <w:ind w:left="720"/>
              <w:rPr>
                <w:rFonts w:ascii="Arial" w:hAnsi="Arial" w:cs="Arial"/>
                <w:sz w:val="24"/>
              </w:rPr>
            </w:pPr>
            <w:proofErr w:type="gramStart"/>
            <w:r w:rsidRPr="004C3841">
              <w:rPr>
                <w:rFonts w:ascii="Arial" w:hAnsi="Arial" w:cs="Arial"/>
                <w:sz w:val="24"/>
              </w:rPr>
              <w:t>is</w:t>
            </w:r>
            <w:proofErr w:type="gramEnd"/>
            <w:r w:rsidRPr="004C3841">
              <w:rPr>
                <w:rFonts w:ascii="Arial" w:hAnsi="Arial" w:cs="Arial"/>
                <w:sz w:val="24"/>
              </w:rPr>
              <w:t xml:space="preserve"> substituted at the nitrogen atom of the amino group with a benzyl substituent, in which the phenyl ring carries hydrogen or one </w:t>
            </w:r>
            <w:proofErr w:type="spellStart"/>
            <w:r w:rsidRPr="004C3841">
              <w:rPr>
                <w:rFonts w:ascii="Arial" w:hAnsi="Arial" w:cs="Arial"/>
                <w:sz w:val="24"/>
              </w:rPr>
              <w:t>methoxy</w:t>
            </w:r>
            <w:proofErr w:type="spellEnd"/>
            <w:r w:rsidRPr="004C3841">
              <w:rPr>
                <w:rFonts w:ascii="Arial" w:hAnsi="Arial" w:cs="Arial"/>
                <w:sz w:val="24"/>
              </w:rPr>
              <w:t>- radical in the 2,3 or 4- positions.</w:t>
            </w:r>
          </w:p>
          <w:p w:rsidR="007F6F56" w:rsidRPr="004C3841" w:rsidRDefault="007F6F56" w:rsidP="00127C00">
            <w:pPr>
              <w:ind w:left="720"/>
              <w:rPr>
                <w:rFonts w:ascii="Arial" w:hAnsi="Arial" w:cs="Arial"/>
                <w:sz w:val="24"/>
              </w:rPr>
            </w:pPr>
          </w:p>
          <w:p w:rsidR="007F6F56" w:rsidRPr="004C3841" w:rsidRDefault="007F6F56" w:rsidP="00127C00">
            <w:pPr>
              <w:rPr>
                <w:rFonts w:ascii="Arial" w:hAnsi="Arial" w:cs="Arial"/>
                <w:sz w:val="24"/>
              </w:rPr>
            </w:pPr>
            <w:r w:rsidRPr="004C3841">
              <w:rPr>
                <w:rFonts w:ascii="Arial" w:hAnsi="Arial" w:cs="Arial"/>
                <w:sz w:val="24"/>
              </w:rPr>
              <w:t xml:space="preserve">This proposed listing is significantly ‘narrower’ in scope compared to Option one. A number of substances listed in the 23 October 2014 EACD paper would not be included, but this version still covers many substances, such as the 30+ listed in the </w:t>
            </w:r>
            <w:proofErr w:type="spellStart"/>
            <w:r w:rsidRPr="004C3841">
              <w:rPr>
                <w:rFonts w:ascii="Arial" w:hAnsi="Arial" w:cs="Arial"/>
                <w:sz w:val="24"/>
              </w:rPr>
              <w:t>Casale</w:t>
            </w:r>
            <w:proofErr w:type="spellEnd"/>
            <w:r w:rsidRPr="004C3841">
              <w:rPr>
                <w:rFonts w:ascii="Arial" w:hAnsi="Arial" w:cs="Arial"/>
                <w:sz w:val="24"/>
              </w:rPr>
              <w:t xml:space="preserve"> and Hays </w:t>
            </w:r>
            <w:r w:rsidRPr="004C3841">
              <w:rPr>
                <w:rFonts w:ascii="Arial" w:hAnsi="Arial" w:cs="Arial"/>
                <w:i/>
                <w:sz w:val="24"/>
              </w:rPr>
              <w:t>Microgram Journal</w:t>
            </w:r>
            <w:r w:rsidRPr="004C3841">
              <w:rPr>
                <w:rFonts w:ascii="Arial" w:hAnsi="Arial" w:cs="Arial"/>
                <w:sz w:val="24"/>
              </w:rPr>
              <w:t xml:space="preserve"> paper.</w:t>
            </w:r>
          </w:p>
          <w:p w:rsidR="007F6F56" w:rsidRPr="004C3841" w:rsidRDefault="007F6F56" w:rsidP="00127C00">
            <w:pPr>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There was a discussion amongst the Committee around the appropriateness of the two options.</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4C7B7A" w:rsidP="00127C00">
            <w:pPr>
              <w:tabs>
                <w:tab w:val="right" w:leader="underscore" w:pos="5670"/>
                <w:tab w:val="left" w:pos="6237"/>
              </w:tabs>
              <w:rPr>
                <w:rFonts w:ascii="Arial" w:hAnsi="Arial" w:cs="Arial"/>
                <w:sz w:val="24"/>
              </w:rPr>
            </w:pPr>
            <w:r w:rsidRPr="004C3841">
              <w:rPr>
                <w:rFonts w:ascii="Arial" w:hAnsi="Arial" w:cs="Arial"/>
                <w:sz w:val="24"/>
              </w:rPr>
              <w:t>[</w:t>
            </w:r>
            <w:proofErr w:type="gramStart"/>
            <w:r w:rsidRPr="004C3841">
              <w:rPr>
                <w:rFonts w:ascii="Arial" w:hAnsi="Arial" w:cs="Arial"/>
                <w:sz w:val="24"/>
              </w:rPr>
              <w:t>redacted</w:t>
            </w:r>
            <w:proofErr w:type="gramEnd"/>
            <w:r w:rsidRPr="004C3841">
              <w:rPr>
                <w:rFonts w:ascii="Arial" w:hAnsi="Arial" w:cs="Arial"/>
                <w:sz w:val="24"/>
              </w:rPr>
              <w:t>]</w:t>
            </w:r>
            <w:r w:rsidR="007F6F56" w:rsidRPr="004C3841">
              <w:rPr>
                <w:rFonts w:ascii="Arial" w:hAnsi="Arial" w:cs="Arial"/>
                <w:sz w:val="24"/>
              </w:rPr>
              <w:t xml:space="preserve"> also gave a third option that would schedule the three most commonly seen </w:t>
            </w:r>
            <w:proofErr w:type="spellStart"/>
            <w:r w:rsidR="007F6F56" w:rsidRPr="004C3841">
              <w:rPr>
                <w:rFonts w:ascii="Arial" w:hAnsi="Arial" w:cs="Arial"/>
                <w:sz w:val="24"/>
              </w:rPr>
              <w:t>NBOMes</w:t>
            </w:r>
            <w:proofErr w:type="spellEnd"/>
            <w:r w:rsidR="007F6F56" w:rsidRPr="004C3841">
              <w:rPr>
                <w:rFonts w:ascii="Arial" w:hAnsi="Arial" w:cs="Arial"/>
                <w:sz w:val="24"/>
              </w:rPr>
              <w:t xml:space="preserve"> (25B-NBOMe, 25C-NBOMe, 25I-NBOMe) as class B1. Subsequently, most other known </w:t>
            </w:r>
            <w:proofErr w:type="spellStart"/>
            <w:r w:rsidR="007F6F56" w:rsidRPr="004C3841">
              <w:rPr>
                <w:rFonts w:ascii="Arial" w:hAnsi="Arial" w:cs="Arial"/>
                <w:sz w:val="24"/>
              </w:rPr>
              <w:t>NBOMes</w:t>
            </w:r>
            <w:proofErr w:type="spellEnd"/>
            <w:r w:rsidR="007F6F56" w:rsidRPr="004C3841">
              <w:rPr>
                <w:rFonts w:ascii="Arial" w:hAnsi="Arial" w:cs="Arial"/>
                <w:sz w:val="24"/>
              </w:rPr>
              <w:t xml:space="preserve"> would automatically be captured as Class C under the controlled drug analogue provisions of </w:t>
            </w:r>
            <w:proofErr w:type="spellStart"/>
            <w:r w:rsidR="007F6F56" w:rsidRPr="004C3841">
              <w:rPr>
                <w:rFonts w:ascii="Arial" w:hAnsi="Arial" w:cs="Arial"/>
                <w:sz w:val="24"/>
              </w:rPr>
              <w:t>MoDA</w:t>
            </w:r>
            <w:proofErr w:type="spellEnd"/>
            <w:r w:rsidR="007F6F56" w:rsidRPr="004C3841">
              <w:rPr>
                <w:rFonts w:ascii="Arial" w:hAnsi="Arial" w:cs="Arial"/>
                <w:sz w:val="24"/>
              </w:rPr>
              <w:t>.</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 xml:space="preserve">The Secretariat also advised that if there are any other current or future </w:t>
            </w:r>
            <w:proofErr w:type="spellStart"/>
            <w:r w:rsidRPr="004C3841">
              <w:rPr>
                <w:rFonts w:ascii="Arial" w:hAnsi="Arial" w:cs="Arial"/>
                <w:sz w:val="24"/>
              </w:rPr>
              <w:t>NBOMes</w:t>
            </w:r>
            <w:proofErr w:type="spellEnd"/>
            <w:r w:rsidRPr="004C3841">
              <w:rPr>
                <w:rFonts w:ascii="Arial" w:hAnsi="Arial" w:cs="Arial"/>
                <w:sz w:val="24"/>
              </w:rPr>
              <w:t xml:space="preserve"> that fall outside the scope of what was decided at this meeting, by default, they will be captured under the Psychoactive Substances Act if they have psychoactive effects. Any </w:t>
            </w:r>
            <w:proofErr w:type="spellStart"/>
            <w:r w:rsidRPr="004C3841">
              <w:rPr>
                <w:rFonts w:ascii="Arial" w:hAnsi="Arial" w:cs="Arial"/>
                <w:sz w:val="24"/>
              </w:rPr>
              <w:t>NBOMe</w:t>
            </w:r>
            <w:proofErr w:type="spellEnd"/>
            <w:r w:rsidRPr="004C3841">
              <w:rPr>
                <w:rFonts w:ascii="Arial" w:hAnsi="Arial" w:cs="Arial"/>
                <w:sz w:val="24"/>
              </w:rPr>
              <w:t xml:space="preserve"> that is not captured under the proposed </w:t>
            </w:r>
            <w:proofErr w:type="spellStart"/>
            <w:r w:rsidRPr="004C3841">
              <w:rPr>
                <w:rFonts w:ascii="Arial" w:hAnsi="Arial" w:cs="Arial"/>
                <w:sz w:val="24"/>
              </w:rPr>
              <w:t>MoDA</w:t>
            </w:r>
            <w:proofErr w:type="spellEnd"/>
            <w:r w:rsidRPr="004C3841">
              <w:rPr>
                <w:rFonts w:ascii="Arial" w:hAnsi="Arial" w:cs="Arial"/>
                <w:sz w:val="24"/>
              </w:rPr>
              <w:t xml:space="preserve"> scheduling and that is </w:t>
            </w:r>
            <w:r w:rsidRPr="004C3841">
              <w:rPr>
                <w:rFonts w:ascii="Arial" w:hAnsi="Arial" w:cs="Arial"/>
                <w:b/>
                <w:sz w:val="24"/>
              </w:rPr>
              <w:t>not</w:t>
            </w:r>
            <w:r w:rsidRPr="004C3841">
              <w:rPr>
                <w:rFonts w:ascii="Arial" w:hAnsi="Arial" w:cs="Arial"/>
                <w:sz w:val="24"/>
              </w:rPr>
              <w:t xml:space="preserve"> psychoactive is unlikely to be abused and would likely not require regulation.</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b/>
                <w:sz w:val="24"/>
              </w:rPr>
              <w:t xml:space="preserve">Outcome: </w:t>
            </w:r>
            <w:r w:rsidRPr="004C3841">
              <w:rPr>
                <w:rFonts w:ascii="Arial" w:hAnsi="Arial" w:cs="Arial"/>
                <w:sz w:val="24"/>
              </w:rPr>
              <w:t xml:space="preserve">Under the recommendation made by </w:t>
            </w:r>
            <w:r w:rsidR="004C7B7A" w:rsidRPr="004C3841">
              <w:rPr>
                <w:rFonts w:ascii="Arial" w:hAnsi="Arial" w:cs="Arial"/>
                <w:sz w:val="24"/>
              </w:rPr>
              <w:t>[redacted]</w:t>
            </w:r>
            <w:r w:rsidRPr="004C3841">
              <w:rPr>
                <w:rFonts w:ascii="Arial" w:hAnsi="Arial" w:cs="Arial"/>
                <w:sz w:val="24"/>
              </w:rPr>
              <w:t xml:space="preserve">, the Committee agreed that option three was the most appropriate option to schedule the named </w:t>
            </w:r>
            <w:proofErr w:type="spellStart"/>
            <w:r w:rsidRPr="004C3841">
              <w:rPr>
                <w:rFonts w:ascii="Arial" w:hAnsi="Arial" w:cs="Arial"/>
                <w:sz w:val="24"/>
              </w:rPr>
              <w:t>NBOMes</w:t>
            </w:r>
            <w:proofErr w:type="spellEnd"/>
            <w:r w:rsidRPr="004C3841">
              <w:rPr>
                <w:rFonts w:ascii="Arial" w:hAnsi="Arial" w:cs="Arial"/>
                <w:sz w:val="24"/>
              </w:rPr>
              <w:t>.</w:t>
            </w:r>
            <w:r w:rsidRPr="004C3841">
              <w:rPr>
                <w:rFonts w:ascii="Arial" w:hAnsi="Arial" w:cs="Arial"/>
                <w:b/>
                <w:sz w:val="24"/>
              </w:rPr>
              <w:t xml:space="preserve"> </w:t>
            </w:r>
            <w:r w:rsidRPr="004C3841">
              <w:rPr>
                <w:rFonts w:ascii="Arial" w:hAnsi="Arial" w:cs="Arial"/>
                <w:sz w:val="24"/>
              </w:rPr>
              <w:t xml:space="preserve">It was moved by </w:t>
            </w:r>
            <w:r w:rsidR="00BC391B" w:rsidRPr="004C3841">
              <w:rPr>
                <w:rFonts w:ascii="Arial" w:hAnsi="Arial" w:cs="Arial"/>
                <w:sz w:val="24"/>
              </w:rPr>
              <w:t xml:space="preserve">[redacted] </w:t>
            </w:r>
            <w:r w:rsidRPr="004C3841">
              <w:rPr>
                <w:rFonts w:ascii="Arial" w:hAnsi="Arial" w:cs="Arial"/>
                <w:sz w:val="24"/>
              </w:rPr>
              <w:t xml:space="preserve">that 25B-NBOMe, 25C-NBOMe and 25I-NBOMe be scheduled as Class B1. This was seconded by </w:t>
            </w:r>
            <w:r w:rsidR="00BC391B" w:rsidRPr="004C3841">
              <w:rPr>
                <w:rFonts w:ascii="Arial" w:hAnsi="Arial" w:cs="Arial"/>
                <w:sz w:val="24"/>
              </w:rPr>
              <w:t>[redacted]</w:t>
            </w:r>
            <w:r w:rsidRPr="004C3841">
              <w:rPr>
                <w:rFonts w:ascii="Arial" w:hAnsi="Arial" w:cs="Arial"/>
                <w:sz w:val="24"/>
              </w:rPr>
              <w:t>. All were in favour.</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b/>
                <w:sz w:val="24"/>
              </w:rPr>
              <w:t xml:space="preserve">Note: </w:t>
            </w:r>
            <w:r w:rsidR="004C7B7A" w:rsidRPr="004C3841">
              <w:rPr>
                <w:rFonts w:ascii="Arial" w:hAnsi="Arial" w:cs="Arial"/>
                <w:sz w:val="24"/>
              </w:rPr>
              <w:t>[redacted]</w:t>
            </w:r>
            <w:r w:rsidRPr="004C3841">
              <w:rPr>
                <w:rFonts w:ascii="Arial" w:hAnsi="Arial" w:cs="Arial"/>
                <w:sz w:val="24"/>
              </w:rPr>
              <w:t xml:space="preserve"> refrained from voting for any motions put forward to prevent invalidating any decisions made on the grounds that he was not an appointed member. </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4C7B7A" w:rsidP="00127C00">
            <w:pPr>
              <w:tabs>
                <w:tab w:val="right" w:leader="underscore" w:pos="5670"/>
                <w:tab w:val="left" w:pos="6237"/>
              </w:tabs>
              <w:rPr>
                <w:rFonts w:ascii="Arial" w:hAnsi="Arial" w:cs="Arial"/>
                <w:sz w:val="24"/>
              </w:rPr>
            </w:pPr>
            <w:r w:rsidRPr="004C3841">
              <w:rPr>
                <w:rFonts w:ascii="Arial" w:hAnsi="Arial" w:cs="Arial"/>
                <w:sz w:val="24"/>
              </w:rPr>
              <w:t>[redacted]</w:t>
            </w:r>
            <w:r w:rsidR="007F6F56" w:rsidRPr="004C3841">
              <w:rPr>
                <w:rFonts w:ascii="Arial" w:hAnsi="Arial" w:cs="Arial"/>
                <w:sz w:val="24"/>
              </w:rPr>
              <w:t xml:space="preserve"> made the following recommendation on the presumption for supply:</w:t>
            </w:r>
          </w:p>
          <w:p w:rsidR="007F6F56" w:rsidRPr="004C3841" w:rsidRDefault="007F6F56" w:rsidP="00127C00">
            <w:pPr>
              <w:tabs>
                <w:tab w:val="right" w:leader="underscore" w:pos="5670"/>
                <w:tab w:val="left" w:pos="6237"/>
              </w:tabs>
              <w:rPr>
                <w:rFonts w:ascii="Arial" w:hAnsi="Arial" w:cs="Arial"/>
                <w:sz w:val="24"/>
              </w:rPr>
            </w:pPr>
            <w:proofErr w:type="spellStart"/>
            <w:r w:rsidRPr="004C3841">
              <w:rPr>
                <w:rFonts w:ascii="Arial" w:hAnsi="Arial" w:cs="Arial"/>
                <w:sz w:val="24"/>
              </w:rPr>
              <w:t>NBOMe</w:t>
            </w:r>
            <w:proofErr w:type="spellEnd"/>
            <w:r w:rsidRPr="004C3841">
              <w:rPr>
                <w:rFonts w:ascii="Arial" w:hAnsi="Arial" w:cs="Arial"/>
                <w:sz w:val="24"/>
              </w:rPr>
              <w:t xml:space="preserve"> series substances, 25 milligrams or 25 flakes, tablets, capsules or other drug forms, each containing some quantity of the drug.</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This proposed presumption for supply implies an average dosage unit amount of 1000 micrograms or 1 milligram.</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 xml:space="preserve">The Committee agreed with </w:t>
            </w:r>
            <w:r w:rsidR="004C7B7A" w:rsidRPr="004C3841">
              <w:rPr>
                <w:rFonts w:ascii="Arial" w:hAnsi="Arial" w:cs="Arial"/>
                <w:sz w:val="24"/>
              </w:rPr>
              <w:t>[redacted]</w:t>
            </w:r>
            <w:r w:rsidRPr="004C3841">
              <w:rPr>
                <w:rFonts w:ascii="Arial" w:hAnsi="Arial" w:cs="Arial"/>
                <w:sz w:val="24"/>
              </w:rPr>
              <w:t xml:space="preserve"> recommendation.</w:t>
            </w:r>
          </w:p>
          <w:p w:rsidR="007F6F56" w:rsidRPr="004C3841" w:rsidRDefault="007F6F56" w:rsidP="00127C00">
            <w:pPr>
              <w:tabs>
                <w:tab w:val="right" w:leader="underscore" w:pos="5670"/>
                <w:tab w:val="left" w:pos="6237"/>
              </w:tabs>
              <w:rPr>
                <w:rFonts w:ascii="Arial" w:hAnsi="Arial" w:cs="Arial"/>
                <w:sz w:val="24"/>
              </w:rPr>
            </w:pPr>
          </w:p>
        </w:tc>
      </w:tr>
      <w:tr w:rsidR="007F6F56" w:rsidRPr="004C3841" w:rsidTr="00127C00">
        <w:tc>
          <w:tcPr>
            <w:tcW w:w="720" w:type="dxa"/>
          </w:tcPr>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lastRenderedPageBreak/>
              <w:t>13</w:t>
            </w:r>
          </w:p>
        </w:tc>
        <w:tc>
          <w:tcPr>
            <w:tcW w:w="9180" w:type="dxa"/>
          </w:tcPr>
          <w:p w:rsidR="007F6F56" w:rsidRPr="004C3841" w:rsidRDefault="007F6F56" w:rsidP="00127C00">
            <w:pPr>
              <w:tabs>
                <w:tab w:val="right" w:leader="underscore" w:pos="5670"/>
                <w:tab w:val="left" w:pos="6237"/>
              </w:tabs>
              <w:rPr>
                <w:rFonts w:ascii="Arial" w:hAnsi="Arial" w:cs="Arial"/>
                <w:b/>
                <w:sz w:val="24"/>
              </w:rPr>
            </w:pPr>
            <w:r w:rsidRPr="004C3841">
              <w:rPr>
                <w:rFonts w:ascii="Arial" w:hAnsi="Arial" w:cs="Arial"/>
                <w:b/>
                <w:sz w:val="24"/>
              </w:rPr>
              <w:t>Break for lunch</w:t>
            </w:r>
          </w:p>
        </w:tc>
      </w:tr>
      <w:tr w:rsidR="007F6F56" w:rsidRPr="004C3841" w:rsidTr="00127C00">
        <w:tc>
          <w:tcPr>
            <w:tcW w:w="720" w:type="dxa"/>
          </w:tcPr>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14</w:t>
            </w:r>
          </w:p>
        </w:tc>
        <w:tc>
          <w:tcPr>
            <w:tcW w:w="9180" w:type="dxa"/>
          </w:tcPr>
          <w:p w:rsidR="007F6F56" w:rsidRPr="004C3841" w:rsidRDefault="007F6F56" w:rsidP="00127C00">
            <w:pPr>
              <w:tabs>
                <w:tab w:val="right" w:leader="underscore" w:pos="5670"/>
                <w:tab w:val="left" w:pos="6237"/>
              </w:tabs>
              <w:rPr>
                <w:rFonts w:ascii="Arial" w:hAnsi="Arial" w:cs="Arial"/>
                <w:b/>
                <w:sz w:val="24"/>
              </w:rPr>
            </w:pPr>
            <w:r w:rsidRPr="004C3841">
              <w:rPr>
                <w:rFonts w:ascii="Arial" w:hAnsi="Arial" w:cs="Arial"/>
                <w:b/>
                <w:sz w:val="24"/>
              </w:rPr>
              <w:t>Tramadol</w:t>
            </w: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lastRenderedPageBreak/>
              <w:t>At the previous meeting the Secretariat presented an update paper on tramadol. Tramadol was previously considered by the EACD but a decision to classify it as a controlled drug was subject to further information. The Secretariat provided a revised assessment which includes information on its international abuse profile and likelihood or evidence of abuse in New Zealand. Three classification options were proposed:</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Option one: No change – tramadol would continue to be regulated as a prescription medicine under the Medicines Act in an approach similar to that adopted by Australia, Canada and Germany.</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 xml:space="preserve">Option two: Schedule tramadol as a Class C controlled drug under </w:t>
            </w:r>
            <w:proofErr w:type="spellStart"/>
            <w:r w:rsidRPr="004C3841">
              <w:rPr>
                <w:rFonts w:ascii="Arial" w:hAnsi="Arial" w:cs="Arial"/>
                <w:sz w:val="24"/>
              </w:rPr>
              <w:t>MoDA</w:t>
            </w:r>
            <w:proofErr w:type="spellEnd"/>
            <w:r w:rsidRPr="004C3841">
              <w:rPr>
                <w:rFonts w:ascii="Arial" w:hAnsi="Arial" w:cs="Arial"/>
                <w:sz w:val="24"/>
              </w:rPr>
              <w:t>. This approach is similar to that adopted by the UK and the US.</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Option three: Adopt any combination of the following options.</w:t>
            </w:r>
          </w:p>
          <w:p w:rsidR="007F6F56" w:rsidRPr="004C3841" w:rsidRDefault="007F6F56" w:rsidP="00127C00">
            <w:pPr>
              <w:pStyle w:val="ListParagraph"/>
              <w:numPr>
                <w:ilvl w:val="0"/>
                <w:numId w:val="1"/>
              </w:numPr>
              <w:tabs>
                <w:tab w:val="right" w:leader="underscore" w:pos="5670"/>
                <w:tab w:val="left" w:pos="6237"/>
              </w:tabs>
              <w:rPr>
                <w:rFonts w:ascii="Arial" w:hAnsi="Arial" w:cs="Arial"/>
                <w:sz w:val="24"/>
              </w:rPr>
            </w:pPr>
            <w:r w:rsidRPr="004C3841">
              <w:rPr>
                <w:rFonts w:ascii="Arial" w:hAnsi="Arial" w:cs="Arial"/>
                <w:sz w:val="24"/>
              </w:rPr>
              <w:t xml:space="preserve">Request PHARMAC to cease funding tramadol. </w:t>
            </w:r>
          </w:p>
          <w:p w:rsidR="007F6F56" w:rsidRPr="004C3841" w:rsidRDefault="007F6F56" w:rsidP="00127C00">
            <w:pPr>
              <w:pStyle w:val="ListParagraph"/>
              <w:numPr>
                <w:ilvl w:val="0"/>
                <w:numId w:val="1"/>
              </w:numPr>
              <w:tabs>
                <w:tab w:val="right" w:leader="underscore" w:pos="5670"/>
                <w:tab w:val="left" w:pos="6237"/>
              </w:tabs>
              <w:rPr>
                <w:rFonts w:ascii="Arial" w:hAnsi="Arial" w:cs="Arial"/>
                <w:sz w:val="24"/>
              </w:rPr>
            </w:pPr>
            <w:r w:rsidRPr="004C3841">
              <w:rPr>
                <w:rFonts w:ascii="Arial" w:hAnsi="Arial" w:cs="Arial"/>
                <w:sz w:val="24"/>
              </w:rPr>
              <w:t xml:space="preserve">Request PHARMAC to preferentially fund formulations that are considered to be harder to abuse. </w:t>
            </w:r>
          </w:p>
          <w:p w:rsidR="007F6F56" w:rsidRPr="004C3841" w:rsidRDefault="007F6F56" w:rsidP="00127C00">
            <w:pPr>
              <w:pStyle w:val="ListParagraph"/>
              <w:numPr>
                <w:ilvl w:val="0"/>
                <w:numId w:val="1"/>
              </w:numPr>
              <w:tabs>
                <w:tab w:val="right" w:leader="underscore" w:pos="5670"/>
                <w:tab w:val="left" w:pos="6237"/>
              </w:tabs>
              <w:rPr>
                <w:rFonts w:ascii="Arial" w:hAnsi="Arial" w:cs="Arial"/>
                <w:sz w:val="24"/>
              </w:rPr>
            </w:pPr>
            <w:r w:rsidRPr="004C3841">
              <w:rPr>
                <w:rFonts w:ascii="Arial" w:hAnsi="Arial" w:cs="Arial"/>
                <w:sz w:val="24"/>
              </w:rPr>
              <w:t xml:space="preserve">Request that </w:t>
            </w:r>
            <w:proofErr w:type="spellStart"/>
            <w:r w:rsidRPr="004C3841">
              <w:rPr>
                <w:rFonts w:ascii="Arial" w:hAnsi="Arial" w:cs="Arial"/>
                <w:sz w:val="24"/>
              </w:rPr>
              <w:t>Medsafe</w:t>
            </w:r>
            <w:proofErr w:type="spellEnd"/>
            <w:r w:rsidRPr="004C3841">
              <w:rPr>
                <w:rFonts w:ascii="Arial" w:hAnsi="Arial" w:cs="Arial"/>
                <w:sz w:val="24"/>
              </w:rPr>
              <w:t xml:space="preserve"> and PHARMAC undertake education campaigns for prescribers to raise awareness of the safety profile of tramadol.</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The Committee discussed the evidence of abuse and addiction in New Zealand, particularly since it became funded by PHARMAC in 2010. The committee also discussed the potential issues with the prescribing process and misconceptions around the safety of tramadol amongst doctors.</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b/>
                <w:sz w:val="24"/>
              </w:rPr>
              <w:t xml:space="preserve">Outcome: </w:t>
            </w:r>
            <w:r w:rsidRPr="004C3841">
              <w:rPr>
                <w:rFonts w:ascii="Arial" w:hAnsi="Arial" w:cs="Arial"/>
                <w:sz w:val="24"/>
              </w:rPr>
              <w:t>The Committee agreed that</w:t>
            </w:r>
            <w:r w:rsidRPr="004C3841">
              <w:rPr>
                <w:rFonts w:ascii="Arial" w:hAnsi="Arial" w:cs="Arial"/>
                <w:b/>
                <w:sz w:val="24"/>
              </w:rPr>
              <w:t xml:space="preserve"> </w:t>
            </w:r>
            <w:r w:rsidRPr="004C3841">
              <w:rPr>
                <w:rFonts w:ascii="Arial" w:hAnsi="Arial" w:cs="Arial"/>
                <w:sz w:val="24"/>
              </w:rPr>
              <w:t xml:space="preserve">more information on the evidence of harm in New Zealand is needed before any concrete decisions can be made whether or not to schedule tramadol as a controlled drug. </w:t>
            </w:r>
          </w:p>
          <w:p w:rsidR="007F6F56" w:rsidRPr="004C3841" w:rsidRDefault="007F6F56" w:rsidP="00127C00">
            <w:pPr>
              <w:tabs>
                <w:tab w:val="right" w:leader="underscore" w:pos="5670"/>
                <w:tab w:val="left" w:pos="6237"/>
              </w:tabs>
              <w:rPr>
                <w:rFonts w:ascii="Arial" w:hAnsi="Arial" w:cs="Arial"/>
                <w:b/>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b/>
                <w:sz w:val="24"/>
              </w:rPr>
              <w:t xml:space="preserve">Action: </w:t>
            </w:r>
            <w:r w:rsidR="004C7B7A" w:rsidRPr="004C3841">
              <w:rPr>
                <w:rFonts w:ascii="Arial" w:hAnsi="Arial" w:cs="Arial"/>
                <w:sz w:val="24"/>
              </w:rPr>
              <w:t xml:space="preserve">[redacted] </w:t>
            </w:r>
            <w:r w:rsidRPr="004C3841">
              <w:rPr>
                <w:rFonts w:ascii="Arial" w:hAnsi="Arial" w:cs="Arial"/>
                <w:sz w:val="24"/>
              </w:rPr>
              <w:t xml:space="preserve">to liaise with NDIB regarding a review of the paper on tramadol which will inform a later discussion for the EACD. </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b/>
                <w:sz w:val="24"/>
              </w:rPr>
              <w:t xml:space="preserve">Action: </w:t>
            </w:r>
            <w:r w:rsidRPr="004C3841">
              <w:rPr>
                <w:rFonts w:ascii="Arial" w:hAnsi="Arial" w:cs="Arial"/>
                <w:sz w:val="24"/>
              </w:rPr>
              <w:t>The Secretariat to liaise with the Ministry of Health to arrange consultation with industry and PHARMAC on the potential for scheduling t</w:t>
            </w:r>
            <w:r w:rsidR="00A30BEB" w:rsidRPr="004C3841">
              <w:rPr>
                <w:rFonts w:ascii="Arial" w:hAnsi="Arial" w:cs="Arial"/>
                <w:sz w:val="24"/>
              </w:rPr>
              <w:t>ramadol as a C</w:t>
            </w:r>
            <w:r w:rsidRPr="004C3841">
              <w:rPr>
                <w:rFonts w:ascii="Arial" w:hAnsi="Arial" w:cs="Arial"/>
                <w:sz w:val="24"/>
              </w:rPr>
              <w:t xml:space="preserve">lass C controlled drug under </w:t>
            </w:r>
            <w:proofErr w:type="spellStart"/>
            <w:r w:rsidRPr="004C3841">
              <w:rPr>
                <w:rFonts w:ascii="Arial" w:hAnsi="Arial" w:cs="Arial"/>
                <w:sz w:val="24"/>
              </w:rPr>
              <w:t>MoDA</w:t>
            </w:r>
            <w:proofErr w:type="spellEnd"/>
            <w:r w:rsidRPr="004C3841">
              <w:rPr>
                <w:rFonts w:ascii="Arial" w:hAnsi="Arial" w:cs="Arial"/>
                <w:sz w:val="24"/>
              </w:rPr>
              <w:t>.</w:t>
            </w:r>
          </w:p>
          <w:p w:rsidR="007F6F56" w:rsidRPr="004C3841" w:rsidRDefault="007F6F56" w:rsidP="00127C00">
            <w:pPr>
              <w:tabs>
                <w:tab w:val="right" w:leader="underscore" w:pos="5670"/>
                <w:tab w:val="left" w:pos="6237"/>
              </w:tabs>
              <w:rPr>
                <w:rFonts w:ascii="Arial" w:hAnsi="Arial" w:cs="Arial"/>
                <w:sz w:val="24"/>
              </w:rPr>
            </w:pPr>
          </w:p>
        </w:tc>
      </w:tr>
      <w:tr w:rsidR="007F6F56" w:rsidRPr="004C3841" w:rsidTr="00127C00">
        <w:tc>
          <w:tcPr>
            <w:tcW w:w="720" w:type="dxa"/>
          </w:tcPr>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lastRenderedPageBreak/>
              <w:t>15</w:t>
            </w:r>
          </w:p>
        </w:tc>
        <w:tc>
          <w:tcPr>
            <w:tcW w:w="9180" w:type="dxa"/>
          </w:tcPr>
          <w:p w:rsidR="007F6F56" w:rsidRPr="004C3841" w:rsidRDefault="007F6F56" w:rsidP="00127C00">
            <w:pPr>
              <w:tabs>
                <w:tab w:val="right" w:leader="underscore" w:pos="5670"/>
                <w:tab w:val="left" w:pos="6237"/>
              </w:tabs>
              <w:rPr>
                <w:rFonts w:ascii="Arial" w:hAnsi="Arial" w:cs="Arial"/>
                <w:b/>
                <w:sz w:val="24"/>
              </w:rPr>
            </w:pPr>
            <w:r w:rsidRPr="004C3841">
              <w:rPr>
                <w:rFonts w:ascii="Arial" w:hAnsi="Arial" w:cs="Arial"/>
                <w:b/>
                <w:sz w:val="24"/>
              </w:rPr>
              <w:t>Future meetings (dates and frequency)</w:t>
            </w: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 xml:space="preserve">The Secretariat previously proposed that the Committee hold three to four meetings a year. However, due to the increased work load for the Secretariat, this proposal was revised to suggest two meetings a year. The Committee agreed. </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sz w:val="24"/>
              </w:rPr>
              <w:t>It was suggested that meetings be held early April and early September. The Committee agreed on these tentative dates.</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sz w:val="24"/>
              </w:rPr>
            </w:pPr>
            <w:r w:rsidRPr="004C3841">
              <w:rPr>
                <w:rFonts w:ascii="Arial" w:hAnsi="Arial" w:cs="Arial"/>
                <w:b/>
                <w:sz w:val="24"/>
              </w:rPr>
              <w:t xml:space="preserve">Action: </w:t>
            </w:r>
            <w:r w:rsidRPr="004C3841">
              <w:rPr>
                <w:rFonts w:ascii="Arial" w:hAnsi="Arial" w:cs="Arial"/>
                <w:sz w:val="24"/>
              </w:rPr>
              <w:t>Secretariat to confirm the exact date of the next meeting.</w:t>
            </w:r>
          </w:p>
          <w:p w:rsidR="007F6F56" w:rsidRPr="004C3841" w:rsidRDefault="007F6F56" w:rsidP="00127C00">
            <w:pPr>
              <w:tabs>
                <w:tab w:val="right" w:leader="underscore" w:pos="5670"/>
                <w:tab w:val="left" w:pos="6237"/>
              </w:tabs>
              <w:rPr>
                <w:rFonts w:ascii="Arial" w:hAnsi="Arial" w:cs="Arial"/>
                <w:sz w:val="24"/>
              </w:rPr>
            </w:pPr>
          </w:p>
          <w:p w:rsidR="007F6F56" w:rsidRPr="004C3841" w:rsidRDefault="007F6F56" w:rsidP="00127C00">
            <w:pPr>
              <w:tabs>
                <w:tab w:val="right" w:leader="underscore" w:pos="5670"/>
                <w:tab w:val="left" w:pos="6237"/>
              </w:tabs>
              <w:rPr>
                <w:rFonts w:ascii="Arial" w:hAnsi="Arial" w:cs="Arial"/>
                <w:i/>
                <w:sz w:val="24"/>
              </w:rPr>
            </w:pPr>
            <w:r w:rsidRPr="004C3841">
              <w:rPr>
                <w:rFonts w:ascii="Arial" w:hAnsi="Arial" w:cs="Arial"/>
                <w:i/>
                <w:sz w:val="24"/>
              </w:rPr>
              <w:t>Agenda items for next meeting</w:t>
            </w:r>
          </w:p>
          <w:p w:rsidR="007F6F56" w:rsidRPr="004C3841" w:rsidRDefault="007F6F56" w:rsidP="00127C00">
            <w:pPr>
              <w:tabs>
                <w:tab w:val="right" w:leader="underscore" w:pos="5670"/>
                <w:tab w:val="left" w:pos="6237"/>
              </w:tabs>
              <w:rPr>
                <w:rFonts w:ascii="Arial" w:hAnsi="Arial" w:cs="Arial"/>
                <w:sz w:val="24"/>
              </w:rPr>
            </w:pPr>
            <w:proofErr w:type="spellStart"/>
            <w:r w:rsidRPr="004C3841">
              <w:rPr>
                <w:rFonts w:ascii="Arial" w:hAnsi="Arial" w:cs="Arial"/>
                <w:sz w:val="24"/>
              </w:rPr>
              <w:t>Hypophosphorus</w:t>
            </w:r>
            <w:proofErr w:type="spellEnd"/>
            <w:r w:rsidRPr="004C3841">
              <w:rPr>
                <w:rFonts w:ascii="Arial" w:hAnsi="Arial" w:cs="Arial"/>
                <w:sz w:val="24"/>
              </w:rPr>
              <w:t xml:space="preserve"> acid as a precursor</w:t>
            </w:r>
          </w:p>
          <w:p w:rsidR="007F6F56" w:rsidRPr="004C3841" w:rsidRDefault="007F6F56" w:rsidP="00127C00">
            <w:pPr>
              <w:tabs>
                <w:tab w:val="right" w:leader="underscore" w:pos="5670"/>
                <w:tab w:val="left" w:pos="6237"/>
              </w:tabs>
              <w:rPr>
                <w:rFonts w:ascii="Arial" w:hAnsi="Arial" w:cs="Arial"/>
                <w:sz w:val="24"/>
              </w:rPr>
            </w:pPr>
            <w:proofErr w:type="spellStart"/>
            <w:r w:rsidRPr="004C3841">
              <w:rPr>
                <w:rFonts w:ascii="Arial" w:hAnsi="Arial" w:cs="Arial"/>
                <w:sz w:val="24"/>
              </w:rPr>
              <w:t>Zopiclone</w:t>
            </w:r>
            <w:proofErr w:type="spellEnd"/>
          </w:p>
          <w:p w:rsidR="007F6F56" w:rsidRPr="004C3841" w:rsidRDefault="007F6F56" w:rsidP="00127C00">
            <w:pPr>
              <w:tabs>
                <w:tab w:val="right" w:leader="underscore" w:pos="5670"/>
                <w:tab w:val="left" w:pos="6237"/>
              </w:tabs>
              <w:rPr>
                <w:rFonts w:ascii="Arial" w:hAnsi="Arial" w:cs="Arial"/>
                <w:sz w:val="24"/>
              </w:rPr>
            </w:pPr>
            <w:proofErr w:type="spellStart"/>
            <w:r w:rsidRPr="004C3841">
              <w:rPr>
                <w:rFonts w:ascii="Arial" w:hAnsi="Arial" w:cs="Arial"/>
                <w:sz w:val="24"/>
              </w:rPr>
              <w:t>Zolpidem</w:t>
            </w:r>
            <w:proofErr w:type="spellEnd"/>
          </w:p>
          <w:p w:rsidR="007F6F56" w:rsidRPr="004C3841" w:rsidRDefault="007F6F56" w:rsidP="00127C00">
            <w:pPr>
              <w:tabs>
                <w:tab w:val="right" w:leader="underscore" w:pos="5670"/>
                <w:tab w:val="left" w:pos="6237"/>
              </w:tabs>
              <w:rPr>
                <w:rFonts w:ascii="Arial" w:hAnsi="Arial" w:cs="Arial"/>
                <w:sz w:val="24"/>
              </w:rPr>
            </w:pPr>
          </w:p>
        </w:tc>
      </w:tr>
    </w:tbl>
    <w:p w:rsidR="007F6F56" w:rsidRPr="004C3841" w:rsidRDefault="007F6F56" w:rsidP="007F6F56">
      <w:pPr>
        <w:rPr>
          <w:rFonts w:cs="Arial"/>
        </w:rPr>
      </w:pPr>
    </w:p>
    <w:p w:rsidR="007F6F56" w:rsidRPr="004C3841" w:rsidRDefault="007F6F56" w:rsidP="007F6F56">
      <w:pPr>
        <w:rPr>
          <w:rFonts w:cs="Arial"/>
        </w:rPr>
      </w:pPr>
      <w:r w:rsidRPr="004C3841">
        <w:rPr>
          <w:rFonts w:cs="Arial"/>
        </w:rPr>
        <w:t>The meeting closed at 2:19pm</w:t>
      </w:r>
    </w:p>
    <w:p w:rsidR="007F6F56" w:rsidRPr="004C3841" w:rsidRDefault="007F6F56" w:rsidP="007F6F56">
      <w:pPr>
        <w:rPr>
          <w:rFonts w:cs="Arial"/>
          <w:b/>
        </w:rPr>
      </w:pPr>
    </w:p>
    <w:p w:rsidR="007F6F56" w:rsidRPr="004C3841" w:rsidRDefault="007F6F56" w:rsidP="007F6F56">
      <w:pPr>
        <w:tabs>
          <w:tab w:val="right" w:leader="underscore" w:pos="5670"/>
          <w:tab w:val="left" w:pos="6237"/>
        </w:tabs>
        <w:rPr>
          <w:rFonts w:cs="Arial"/>
        </w:rPr>
      </w:pPr>
    </w:p>
    <w:tbl>
      <w:tblPr>
        <w:tblStyle w:val="TableGrid"/>
        <w:tblW w:w="0" w:type="auto"/>
        <w:tblInd w:w="108" w:type="dxa"/>
        <w:tblLook w:val="01E0" w:firstRow="1" w:lastRow="1" w:firstColumn="1" w:lastColumn="1" w:noHBand="0" w:noVBand="0"/>
      </w:tblPr>
      <w:tblGrid>
        <w:gridCol w:w="720"/>
        <w:gridCol w:w="5684"/>
        <w:gridCol w:w="1944"/>
        <w:gridCol w:w="1457"/>
      </w:tblGrid>
      <w:tr w:rsidR="007F6F56" w:rsidRPr="004C3841" w:rsidTr="00127C00">
        <w:tc>
          <w:tcPr>
            <w:tcW w:w="720" w:type="dxa"/>
          </w:tcPr>
          <w:p w:rsidR="007F6F56" w:rsidRPr="004C3841" w:rsidRDefault="007F6F56" w:rsidP="00127C00">
            <w:pPr>
              <w:rPr>
                <w:rFonts w:ascii="Arial" w:hAnsi="Arial" w:cs="Arial"/>
                <w:sz w:val="24"/>
              </w:rPr>
            </w:pPr>
            <w:r w:rsidRPr="004C3841">
              <w:rPr>
                <w:rFonts w:ascii="Arial" w:hAnsi="Arial" w:cs="Arial"/>
                <w:b/>
                <w:sz w:val="24"/>
              </w:rPr>
              <w:t>Item</w:t>
            </w:r>
          </w:p>
        </w:tc>
        <w:tc>
          <w:tcPr>
            <w:tcW w:w="5882" w:type="dxa"/>
          </w:tcPr>
          <w:p w:rsidR="007F6F56" w:rsidRPr="004C3841" w:rsidRDefault="007F6F56" w:rsidP="00127C00">
            <w:pPr>
              <w:rPr>
                <w:rFonts w:ascii="Arial" w:hAnsi="Arial" w:cs="Arial"/>
                <w:b/>
                <w:sz w:val="24"/>
              </w:rPr>
            </w:pPr>
            <w:r w:rsidRPr="004C3841">
              <w:rPr>
                <w:rFonts w:ascii="Arial" w:hAnsi="Arial" w:cs="Arial"/>
                <w:b/>
                <w:sz w:val="24"/>
              </w:rPr>
              <w:t>Action</w:t>
            </w:r>
          </w:p>
        </w:tc>
        <w:tc>
          <w:tcPr>
            <w:tcW w:w="1972" w:type="dxa"/>
          </w:tcPr>
          <w:p w:rsidR="007F6F56" w:rsidRPr="004C3841" w:rsidRDefault="007F6F56" w:rsidP="00127C00">
            <w:pPr>
              <w:rPr>
                <w:rFonts w:ascii="Arial" w:hAnsi="Arial" w:cs="Arial"/>
                <w:b/>
                <w:sz w:val="24"/>
              </w:rPr>
            </w:pPr>
            <w:r w:rsidRPr="004C3841">
              <w:rPr>
                <w:rFonts w:ascii="Arial" w:hAnsi="Arial" w:cs="Arial"/>
                <w:b/>
                <w:sz w:val="24"/>
              </w:rPr>
              <w:t>Who</w:t>
            </w:r>
          </w:p>
        </w:tc>
        <w:tc>
          <w:tcPr>
            <w:tcW w:w="1457" w:type="dxa"/>
          </w:tcPr>
          <w:p w:rsidR="007F6F56" w:rsidRPr="004C3841" w:rsidRDefault="007F6F56" w:rsidP="00127C00">
            <w:pPr>
              <w:rPr>
                <w:rFonts w:ascii="Arial" w:hAnsi="Arial" w:cs="Arial"/>
                <w:b/>
                <w:sz w:val="24"/>
              </w:rPr>
            </w:pPr>
            <w:r w:rsidRPr="004C3841">
              <w:rPr>
                <w:rFonts w:ascii="Arial" w:hAnsi="Arial" w:cs="Arial"/>
                <w:b/>
                <w:sz w:val="24"/>
              </w:rPr>
              <w:t>Completed</w:t>
            </w:r>
          </w:p>
        </w:tc>
      </w:tr>
      <w:tr w:rsidR="007F6F56" w:rsidRPr="004C3841" w:rsidTr="00127C00">
        <w:tc>
          <w:tcPr>
            <w:tcW w:w="720" w:type="dxa"/>
          </w:tcPr>
          <w:p w:rsidR="007F6F56" w:rsidRPr="004C3841" w:rsidRDefault="007F6F56" w:rsidP="00127C00">
            <w:pPr>
              <w:rPr>
                <w:rFonts w:ascii="Arial" w:hAnsi="Arial" w:cs="Arial"/>
                <w:sz w:val="24"/>
              </w:rPr>
            </w:pPr>
            <w:r w:rsidRPr="004C3841">
              <w:rPr>
                <w:rFonts w:ascii="Arial" w:hAnsi="Arial" w:cs="Arial"/>
                <w:sz w:val="24"/>
              </w:rPr>
              <w:t>1</w:t>
            </w:r>
          </w:p>
        </w:tc>
        <w:tc>
          <w:tcPr>
            <w:tcW w:w="5882" w:type="dxa"/>
          </w:tcPr>
          <w:p w:rsidR="007F6F56" w:rsidRPr="004C3841" w:rsidRDefault="007F6F56" w:rsidP="00127C00">
            <w:pPr>
              <w:rPr>
                <w:rFonts w:ascii="Arial" w:hAnsi="Arial" w:cs="Arial"/>
                <w:sz w:val="24"/>
              </w:rPr>
            </w:pPr>
            <w:r w:rsidRPr="004C3841">
              <w:rPr>
                <w:rFonts w:ascii="Arial" w:hAnsi="Arial" w:cs="Arial"/>
                <w:sz w:val="24"/>
              </w:rPr>
              <w:t>Provide a more detailed description of the one stage process to forward to the Committee out of session.</w:t>
            </w:r>
          </w:p>
        </w:tc>
        <w:tc>
          <w:tcPr>
            <w:tcW w:w="1972" w:type="dxa"/>
          </w:tcPr>
          <w:p w:rsidR="007F6F56" w:rsidRPr="004C3841" w:rsidRDefault="007F6F56" w:rsidP="00127C00">
            <w:pPr>
              <w:rPr>
                <w:rFonts w:ascii="Arial" w:hAnsi="Arial" w:cs="Arial"/>
                <w:sz w:val="24"/>
              </w:rPr>
            </w:pPr>
            <w:r w:rsidRPr="004C3841">
              <w:rPr>
                <w:rFonts w:ascii="Arial" w:hAnsi="Arial" w:cs="Arial"/>
                <w:sz w:val="24"/>
              </w:rPr>
              <w:t>Secretariat</w:t>
            </w:r>
          </w:p>
        </w:tc>
        <w:tc>
          <w:tcPr>
            <w:tcW w:w="1457" w:type="dxa"/>
          </w:tcPr>
          <w:p w:rsidR="007F6F56" w:rsidRPr="004C3841" w:rsidRDefault="007F6F56" w:rsidP="00127C00">
            <w:pPr>
              <w:rPr>
                <w:rFonts w:ascii="Arial" w:hAnsi="Arial" w:cs="Arial"/>
                <w:sz w:val="24"/>
              </w:rPr>
            </w:pPr>
          </w:p>
        </w:tc>
      </w:tr>
      <w:tr w:rsidR="007F6F56" w:rsidRPr="004C3841" w:rsidTr="00127C00">
        <w:tc>
          <w:tcPr>
            <w:tcW w:w="720" w:type="dxa"/>
          </w:tcPr>
          <w:p w:rsidR="007F6F56" w:rsidRPr="004C3841" w:rsidRDefault="007F6F56" w:rsidP="00127C00">
            <w:pPr>
              <w:rPr>
                <w:rFonts w:ascii="Arial" w:hAnsi="Arial" w:cs="Arial"/>
                <w:sz w:val="24"/>
              </w:rPr>
            </w:pPr>
            <w:r w:rsidRPr="004C3841">
              <w:rPr>
                <w:rFonts w:ascii="Arial" w:hAnsi="Arial" w:cs="Arial"/>
                <w:sz w:val="24"/>
              </w:rPr>
              <w:t>2</w:t>
            </w:r>
          </w:p>
        </w:tc>
        <w:tc>
          <w:tcPr>
            <w:tcW w:w="5882" w:type="dxa"/>
          </w:tcPr>
          <w:p w:rsidR="007F6F56" w:rsidRPr="004C3841" w:rsidRDefault="007F6F56" w:rsidP="00127C00">
            <w:pPr>
              <w:rPr>
                <w:rFonts w:ascii="Arial" w:hAnsi="Arial" w:cs="Arial"/>
                <w:sz w:val="24"/>
              </w:rPr>
            </w:pPr>
            <w:r w:rsidRPr="004C3841">
              <w:rPr>
                <w:rFonts w:ascii="Arial" w:hAnsi="Arial" w:cs="Arial"/>
                <w:sz w:val="24"/>
              </w:rPr>
              <w:t>Provide the Committee with a guidance document for the public consultation process.</w:t>
            </w:r>
          </w:p>
        </w:tc>
        <w:tc>
          <w:tcPr>
            <w:tcW w:w="1972" w:type="dxa"/>
          </w:tcPr>
          <w:p w:rsidR="007F6F56" w:rsidRPr="004C3841" w:rsidRDefault="007F6F56" w:rsidP="00127C00">
            <w:pPr>
              <w:rPr>
                <w:rFonts w:ascii="Arial" w:hAnsi="Arial" w:cs="Arial"/>
                <w:sz w:val="24"/>
              </w:rPr>
            </w:pPr>
            <w:r w:rsidRPr="004C3841">
              <w:rPr>
                <w:rFonts w:ascii="Arial" w:hAnsi="Arial" w:cs="Arial"/>
                <w:sz w:val="24"/>
              </w:rPr>
              <w:t>Secretariat</w:t>
            </w:r>
          </w:p>
        </w:tc>
        <w:tc>
          <w:tcPr>
            <w:tcW w:w="1457" w:type="dxa"/>
          </w:tcPr>
          <w:p w:rsidR="007F6F56" w:rsidRPr="004C3841" w:rsidRDefault="007F6F56" w:rsidP="00127C00">
            <w:pPr>
              <w:rPr>
                <w:rFonts w:ascii="Arial" w:hAnsi="Arial" w:cs="Arial"/>
                <w:sz w:val="24"/>
              </w:rPr>
            </w:pPr>
          </w:p>
        </w:tc>
      </w:tr>
      <w:tr w:rsidR="007F6F56" w:rsidRPr="004C3841" w:rsidTr="00127C00">
        <w:tc>
          <w:tcPr>
            <w:tcW w:w="720" w:type="dxa"/>
          </w:tcPr>
          <w:p w:rsidR="007F6F56" w:rsidRPr="004C3841" w:rsidRDefault="007F6F56" w:rsidP="00127C00">
            <w:pPr>
              <w:rPr>
                <w:rFonts w:ascii="Arial" w:hAnsi="Arial" w:cs="Arial"/>
                <w:sz w:val="24"/>
              </w:rPr>
            </w:pPr>
            <w:r w:rsidRPr="004C3841">
              <w:rPr>
                <w:rFonts w:ascii="Arial" w:hAnsi="Arial" w:cs="Arial"/>
                <w:sz w:val="24"/>
              </w:rPr>
              <w:t>3</w:t>
            </w:r>
          </w:p>
        </w:tc>
        <w:tc>
          <w:tcPr>
            <w:tcW w:w="5882" w:type="dxa"/>
          </w:tcPr>
          <w:p w:rsidR="007F6F56" w:rsidRPr="004C3841" w:rsidRDefault="007F6F56" w:rsidP="00127C00">
            <w:pPr>
              <w:rPr>
                <w:rFonts w:ascii="Arial" w:hAnsi="Arial" w:cs="Arial"/>
                <w:sz w:val="24"/>
              </w:rPr>
            </w:pPr>
            <w:r w:rsidRPr="004C3841">
              <w:rPr>
                <w:rFonts w:ascii="Arial" w:hAnsi="Arial" w:cs="Arial"/>
                <w:sz w:val="24"/>
              </w:rPr>
              <w:t>Amend error in handbook under section 3.0 General expectations.</w:t>
            </w:r>
          </w:p>
        </w:tc>
        <w:tc>
          <w:tcPr>
            <w:tcW w:w="1972" w:type="dxa"/>
          </w:tcPr>
          <w:p w:rsidR="007F6F56" w:rsidRPr="004C3841" w:rsidRDefault="007F6F56" w:rsidP="00127C00">
            <w:pPr>
              <w:rPr>
                <w:rFonts w:ascii="Arial" w:hAnsi="Arial" w:cs="Arial"/>
                <w:sz w:val="24"/>
              </w:rPr>
            </w:pPr>
            <w:r w:rsidRPr="004C3841">
              <w:rPr>
                <w:rFonts w:ascii="Arial" w:hAnsi="Arial" w:cs="Arial"/>
                <w:sz w:val="24"/>
              </w:rPr>
              <w:t>Secretariat</w:t>
            </w:r>
          </w:p>
        </w:tc>
        <w:tc>
          <w:tcPr>
            <w:tcW w:w="1457" w:type="dxa"/>
          </w:tcPr>
          <w:p w:rsidR="007F6F56" w:rsidRPr="004C3841" w:rsidRDefault="007F6F56" w:rsidP="00127C00">
            <w:pPr>
              <w:rPr>
                <w:rFonts w:ascii="Arial" w:hAnsi="Arial" w:cs="Arial"/>
                <w:sz w:val="24"/>
              </w:rPr>
            </w:pPr>
          </w:p>
        </w:tc>
      </w:tr>
      <w:tr w:rsidR="007F6F56" w:rsidRPr="004C3841" w:rsidTr="00127C00">
        <w:tc>
          <w:tcPr>
            <w:tcW w:w="720" w:type="dxa"/>
          </w:tcPr>
          <w:p w:rsidR="007F6F56" w:rsidRPr="004C3841" w:rsidRDefault="007F6F56" w:rsidP="00127C00">
            <w:pPr>
              <w:rPr>
                <w:rFonts w:ascii="Arial" w:hAnsi="Arial" w:cs="Arial"/>
                <w:sz w:val="24"/>
              </w:rPr>
            </w:pPr>
            <w:r w:rsidRPr="004C3841">
              <w:rPr>
                <w:rFonts w:ascii="Arial" w:hAnsi="Arial" w:cs="Arial"/>
                <w:sz w:val="24"/>
              </w:rPr>
              <w:t>4</w:t>
            </w:r>
          </w:p>
        </w:tc>
        <w:tc>
          <w:tcPr>
            <w:tcW w:w="5882" w:type="dxa"/>
          </w:tcPr>
          <w:p w:rsidR="007F6F56" w:rsidRPr="004C3841" w:rsidRDefault="007F6F56" w:rsidP="00127C00">
            <w:pPr>
              <w:rPr>
                <w:rFonts w:ascii="Arial" w:hAnsi="Arial" w:cs="Arial"/>
                <w:sz w:val="24"/>
              </w:rPr>
            </w:pPr>
            <w:r w:rsidRPr="004C3841">
              <w:rPr>
                <w:rFonts w:ascii="Arial" w:hAnsi="Arial" w:cs="Arial"/>
                <w:sz w:val="24"/>
              </w:rPr>
              <w:t>Get advice from Health Legal on whether or not a seconded committee member can vote and if they are able to form part of a quorum.</w:t>
            </w:r>
          </w:p>
        </w:tc>
        <w:tc>
          <w:tcPr>
            <w:tcW w:w="1972" w:type="dxa"/>
          </w:tcPr>
          <w:p w:rsidR="007F6F56" w:rsidRPr="004C3841" w:rsidRDefault="007F6F56" w:rsidP="00127C00">
            <w:pPr>
              <w:rPr>
                <w:rFonts w:ascii="Arial" w:hAnsi="Arial" w:cs="Arial"/>
                <w:sz w:val="24"/>
              </w:rPr>
            </w:pPr>
            <w:r w:rsidRPr="004C3841">
              <w:rPr>
                <w:rFonts w:ascii="Arial" w:hAnsi="Arial" w:cs="Arial"/>
                <w:sz w:val="24"/>
              </w:rPr>
              <w:t>Secretariat</w:t>
            </w:r>
          </w:p>
        </w:tc>
        <w:tc>
          <w:tcPr>
            <w:tcW w:w="1457" w:type="dxa"/>
          </w:tcPr>
          <w:p w:rsidR="007F6F56" w:rsidRPr="004C3841" w:rsidRDefault="007F6F56" w:rsidP="00127C00">
            <w:pPr>
              <w:rPr>
                <w:rFonts w:ascii="Arial" w:hAnsi="Arial" w:cs="Arial"/>
                <w:sz w:val="24"/>
              </w:rPr>
            </w:pPr>
          </w:p>
        </w:tc>
      </w:tr>
      <w:tr w:rsidR="007F6F56" w:rsidRPr="004C3841" w:rsidTr="00127C00">
        <w:tc>
          <w:tcPr>
            <w:tcW w:w="720" w:type="dxa"/>
          </w:tcPr>
          <w:p w:rsidR="007F6F56" w:rsidRPr="004C3841" w:rsidRDefault="007F6F56" w:rsidP="00127C00">
            <w:pPr>
              <w:rPr>
                <w:rFonts w:ascii="Arial" w:hAnsi="Arial" w:cs="Arial"/>
                <w:sz w:val="24"/>
              </w:rPr>
            </w:pPr>
            <w:r w:rsidRPr="004C3841">
              <w:rPr>
                <w:rFonts w:ascii="Arial" w:hAnsi="Arial" w:cs="Arial"/>
                <w:sz w:val="24"/>
              </w:rPr>
              <w:t>5</w:t>
            </w:r>
          </w:p>
        </w:tc>
        <w:tc>
          <w:tcPr>
            <w:tcW w:w="5882" w:type="dxa"/>
          </w:tcPr>
          <w:p w:rsidR="007F6F56" w:rsidRPr="004C3841" w:rsidRDefault="007F6F56" w:rsidP="00A30BEB">
            <w:pPr>
              <w:tabs>
                <w:tab w:val="right" w:leader="underscore" w:pos="5670"/>
                <w:tab w:val="left" w:pos="6237"/>
              </w:tabs>
              <w:rPr>
                <w:rFonts w:ascii="Arial" w:hAnsi="Arial" w:cs="Arial"/>
                <w:sz w:val="24"/>
              </w:rPr>
            </w:pPr>
            <w:r w:rsidRPr="004C3841">
              <w:rPr>
                <w:rFonts w:ascii="Arial" w:hAnsi="Arial" w:cs="Arial"/>
                <w:sz w:val="24"/>
              </w:rPr>
              <w:t xml:space="preserve">Update </w:t>
            </w:r>
            <w:r w:rsidR="00A30BEB" w:rsidRPr="004C3841">
              <w:rPr>
                <w:rFonts w:ascii="Arial" w:hAnsi="Arial" w:cs="Arial"/>
                <w:sz w:val="24"/>
              </w:rPr>
              <w:t xml:space="preserve">[redacted] </w:t>
            </w:r>
            <w:r w:rsidRPr="004C3841">
              <w:rPr>
                <w:rFonts w:ascii="Arial" w:hAnsi="Arial" w:cs="Arial"/>
                <w:sz w:val="24"/>
              </w:rPr>
              <w:t>title to reflect his current position and add areas of expertise to the list of members on the website.</w:t>
            </w:r>
          </w:p>
        </w:tc>
        <w:tc>
          <w:tcPr>
            <w:tcW w:w="1972" w:type="dxa"/>
          </w:tcPr>
          <w:p w:rsidR="007F6F56" w:rsidRPr="004C3841" w:rsidRDefault="007F6F56" w:rsidP="00127C00">
            <w:pPr>
              <w:rPr>
                <w:rFonts w:ascii="Arial" w:hAnsi="Arial" w:cs="Arial"/>
                <w:sz w:val="24"/>
              </w:rPr>
            </w:pPr>
            <w:r w:rsidRPr="004C3841">
              <w:rPr>
                <w:rFonts w:ascii="Arial" w:hAnsi="Arial" w:cs="Arial"/>
                <w:sz w:val="24"/>
              </w:rPr>
              <w:t>Secretariat</w:t>
            </w:r>
          </w:p>
        </w:tc>
        <w:tc>
          <w:tcPr>
            <w:tcW w:w="1457" w:type="dxa"/>
          </w:tcPr>
          <w:p w:rsidR="007F6F56" w:rsidRPr="004C3841" w:rsidRDefault="007F6F56" w:rsidP="00127C00">
            <w:pPr>
              <w:rPr>
                <w:rFonts w:ascii="Arial" w:hAnsi="Arial" w:cs="Arial"/>
                <w:sz w:val="24"/>
              </w:rPr>
            </w:pPr>
          </w:p>
        </w:tc>
      </w:tr>
      <w:tr w:rsidR="007F6F56" w:rsidRPr="004C3841" w:rsidTr="00127C00">
        <w:tc>
          <w:tcPr>
            <w:tcW w:w="720" w:type="dxa"/>
          </w:tcPr>
          <w:p w:rsidR="007F6F56" w:rsidRPr="004C3841" w:rsidRDefault="007F6F56" w:rsidP="00127C00">
            <w:pPr>
              <w:rPr>
                <w:rFonts w:ascii="Arial" w:hAnsi="Arial" w:cs="Arial"/>
                <w:sz w:val="24"/>
              </w:rPr>
            </w:pPr>
            <w:r w:rsidRPr="004C3841">
              <w:rPr>
                <w:rFonts w:ascii="Arial" w:hAnsi="Arial" w:cs="Arial"/>
                <w:sz w:val="24"/>
              </w:rPr>
              <w:t>6</w:t>
            </w:r>
          </w:p>
        </w:tc>
        <w:tc>
          <w:tcPr>
            <w:tcW w:w="5882" w:type="dxa"/>
          </w:tcPr>
          <w:p w:rsidR="007F6F56" w:rsidRPr="004C3841" w:rsidRDefault="007F6F56" w:rsidP="00127C00">
            <w:pPr>
              <w:rPr>
                <w:rFonts w:ascii="Arial" w:hAnsi="Arial" w:cs="Arial"/>
                <w:sz w:val="24"/>
              </w:rPr>
            </w:pPr>
            <w:r w:rsidRPr="004C3841">
              <w:rPr>
                <w:rFonts w:ascii="Arial" w:hAnsi="Arial" w:cs="Arial"/>
                <w:sz w:val="24"/>
              </w:rPr>
              <w:t>Send out invites to the Committee for the shared workspace.</w:t>
            </w:r>
          </w:p>
        </w:tc>
        <w:tc>
          <w:tcPr>
            <w:tcW w:w="1972" w:type="dxa"/>
          </w:tcPr>
          <w:p w:rsidR="007F6F56" w:rsidRPr="004C3841" w:rsidRDefault="007F6F56" w:rsidP="00127C00">
            <w:pPr>
              <w:rPr>
                <w:rFonts w:ascii="Arial" w:hAnsi="Arial" w:cs="Arial"/>
                <w:sz w:val="24"/>
              </w:rPr>
            </w:pPr>
            <w:r w:rsidRPr="004C3841">
              <w:rPr>
                <w:rFonts w:ascii="Arial" w:hAnsi="Arial" w:cs="Arial"/>
                <w:sz w:val="24"/>
              </w:rPr>
              <w:t>Secretariat</w:t>
            </w:r>
          </w:p>
        </w:tc>
        <w:tc>
          <w:tcPr>
            <w:tcW w:w="1457" w:type="dxa"/>
          </w:tcPr>
          <w:p w:rsidR="007F6F56" w:rsidRPr="004C3841" w:rsidRDefault="007F6F56" w:rsidP="00127C00">
            <w:pPr>
              <w:rPr>
                <w:rFonts w:ascii="Arial" w:hAnsi="Arial" w:cs="Arial"/>
                <w:sz w:val="24"/>
              </w:rPr>
            </w:pPr>
          </w:p>
        </w:tc>
      </w:tr>
      <w:tr w:rsidR="007F6F56" w:rsidRPr="004C3841" w:rsidTr="00127C00">
        <w:tc>
          <w:tcPr>
            <w:tcW w:w="720" w:type="dxa"/>
          </w:tcPr>
          <w:p w:rsidR="007F6F56" w:rsidRPr="004C3841" w:rsidRDefault="007F6F56" w:rsidP="00127C00">
            <w:pPr>
              <w:rPr>
                <w:rFonts w:ascii="Arial" w:hAnsi="Arial" w:cs="Arial"/>
                <w:sz w:val="24"/>
              </w:rPr>
            </w:pPr>
            <w:r w:rsidRPr="004C3841">
              <w:rPr>
                <w:rFonts w:ascii="Arial" w:hAnsi="Arial" w:cs="Arial"/>
                <w:sz w:val="24"/>
              </w:rPr>
              <w:t>7</w:t>
            </w:r>
          </w:p>
        </w:tc>
        <w:tc>
          <w:tcPr>
            <w:tcW w:w="5882" w:type="dxa"/>
          </w:tcPr>
          <w:p w:rsidR="007F6F56" w:rsidRPr="004C3841" w:rsidRDefault="007F6F56" w:rsidP="00127C00">
            <w:pPr>
              <w:rPr>
                <w:rFonts w:ascii="Arial" w:hAnsi="Arial" w:cs="Arial"/>
                <w:sz w:val="24"/>
              </w:rPr>
            </w:pPr>
            <w:r w:rsidRPr="004C3841">
              <w:rPr>
                <w:rFonts w:ascii="Arial" w:hAnsi="Arial" w:cs="Arial"/>
                <w:sz w:val="24"/>
              </w:rPr>
              <w:t>Inform the EACD of the Medicines Classification Committee decision on DMAA.</w:t>
            </w:r>
          </w:p>
        </w:tc>
        <w:tc>
          <w:tcPr>
            <w:tcW w:w="1972" w:type="dxa"/>
          </w:tcPr>
          <w:p w:rsidR="007F6F56" w:rsidRPr="004C3841" w:rsidRDefault="007F6F56" w:rsidP="00127C00">
            <w:pPr>
              <w:rPr>
                <w:rFonts w:ascii="Arial" w:hAnsi="Arial" w:cs="Arial"/>
                <w:sz w:val="24"/>
              </w:rPr>
            </w:pPr>
            <w:r w:rsidRPr="004C3841">
              <w:rPr>
                <w:rFonts w:ascii="Arial" w:hAnsi="Arial" w:cs="Arial"/>
                <w:sz w:val="24"/>
              </w:rPr>
              <w:t>Secretariat</w:t>
            </w:r>
          </w:p>
        </w:tc>
        <w:tc>
          <w:tcPr>
            <w:tcW w:w="1457" w:type="dxa"/>
          </w:tcPr>
          <w:p w:rsidR="007F6F56" w:rsidRPr="004C3841" w:rsidRDefault="007F6F56" w:rsidP="00127C00">
            <w:pPr>
              <w:rPr>
                <w:rFonts w:ascii="Arial" w:hAnsi="Arial" w:cs="Arial"/>
              </w:rPr>
            </w:pPr>
          </w:p>
        </w:tc>
      </w:tr>
      <w:tr w:rsidR="007F6F56" w:rsidRPr="004C3841" w:rsidTr="00127C00">
        <w:tc>
          <w:tcPr>
            <w:tcW w:w="720" w:type="dxa"/>
          </w:tcPr>
          <w:p w:rsidR="007F6F56" w:rsidRPr="004C3841" w:rsidRDefault="007F6F56" w:rsidP="00127C00">
            <w:pPr>
              <w:rPr>
                <w:rFonts w:ascii="Arial" w:hAnsi="Arial" w:cs="Arial"/>
                <w:sz w:val="24"/>
              </w:rPr>
            </w:pPr>
            <w:r w:rsidRPr="004C3841">
              <w:rPr>
                <w:rFonts w:ascii="Arial" w:hAnsi="Arial" w:cs="Arial"/>
                <w:sz w:val="24"/>
              </w:rPr>
              <w:t>8</w:t>
            </w:r>
          </w:p>
        </w:tc>
        <w:tc>
          <w:tcPr>
            <w:tcW w:w="5882" w:type="dxa"/>
          </w:tcPr>
          <w:p w:rsidR="007F6F56" w:rsidRPr="004C3841" w:rsidRDefault="007F6F56" w:rsidP="00127C00">
            <w:pPr>
              <w:rPr>
                <w:rFonts w:ascii="Arial" w:hAnsi="Arial" w:cs="Arial"/>
                <w:sz w:val="24"/>
              </w:rPr>
            </w:pPr>
            <w:r w:rsidRPr="004C3841">
              <w:rPr>
                <w:rFonts w:ascii="Arial" w:hAnsi="Arial" w:cs="Arial"/>
                <w:sz w:val="24"/>
              </w:rPr>
              <w:t>Liaise with NDIB regarding a review of the paper on tramadol.</w:t>
            </w:r>
          </w:p>
        </w:tc>
        <w:tc>
          <w:tcPr>
            <w:tcW w:w="1972" w:type="dxa"/>
          </w:tcPr>
          <w:p w:rsidR="007F6F56" w:rsidRPr="004C3841" w:rsidRDefault="004C7B7A" w:rsidP="00127C00">
            <w:pPr>
              <w:rPr>
                <w:rFonts w:ascii="Arial" w:hAnsi="Arial" w:cs="Arial"/>
                <w:sz w:val="24"/>
              </w:rPr>
            </w:pPr>
            <w:r w:rsidRPr="004C3841">
              <w:rPr>
                <w:rFonts w:ascii="Arial" w:hAnsi="Arial" w:cs="Arial"/>
                <w:sz w:val="24"/>
              </w:rPr>
              <w:t>[redacted]</w:t>
            </w:r>
          </w:p>
        </w:tc>
        <w:tc>
          <w:tcPr>
            <w:tcW w:w="1457" w:type="dxa"/>
          </w:tcPr>
          <w:p w:rsidR="007F6F56" w:rsidRPr="004C3841" w:rsidRDefault="007F6F56" w:rsidP="00127C00">
            <w:pPr>
              <w:rPr>
                <w:rFonts w:ascii="Arial" w:hAnsi="Arial" w:cs="Arial"/>
                <w:sz w:val="24"/>
              </w:rPr>
            </w:pPr>
          </w:p>
        </w:tc>
      </w:tr>
      <w:tr w:rsidR="007F6F56" w:rsidRPr="004C3841" w:rsidTr="00127C00">
        <w:tc>
          <w:tcPr>
            <w:tcW w:w="720" w:type="dxa"/>
          </w:tcPr>
          <w:p w:rsidR="007F6F56" w:rsidRPr="004C3841" w:rsidRDefault="007F6F56" w:rsidP="00127C00">
            <w:pPr>
              <w:rPr>
                <w:rFonts w:ascii="Arial" w:hAnsi="Arial" w:cs="Arial"/>
                <w:sz w:val="24"/>
              </w:rPr>
            </w:pPr>
            <w:r w:rsidRPr="004C3841">
              <w:rPr>
                <w:rFonts w:ascii="Arial" w:hAnsi="Arial" w:cs="Arial"/>
                <w:sz w:val="24"/>
              </w:rPr>
              <w:t>9</w:t>
            </w:r>
          </w:p>
        </w:tc>
        <w:tc>
          <w:tcPr>
            <w:tcW w:w="5882" w:type="dxa"/>
          </w:tcPr>
          <w:p w:rsidR="007F6F56" w:rsidRPr="004C3841" w:rsidRDefault="007F6F56" w:rsidP="00127C00">
            <w:pPr>
              <w:rPr>
                <w:rFonts w:ascii="Arial" w:hAnsi="Arial" w:cs="Arial"/>
                <w:sz w:val="24"/>
              </w:rPr>
            </w:pPr>
            <w:r w:rsidRPr="004C3841">
              <w:rPr>
                <w:rFonts w:ascii="Arial" w:hAnsi="Arial" w:cs="Arial"/>
                <w:sz w:val="24"/>
              </w:rPr>
              <w:t xml:space="preserve">Liaise with </w:t>
            </w:r>
            <w:proofErr w:type="spellStart"/>
            <w:r w:rsidRPr="004C3841">
              <w:rPr>
                <w:rFonts w:ascii="Arial" w:hAnsi="Arial" w:cs="Arial"/>
                <w:sz w:val="24"/>
              </w:rPr>
              <w:t>Medsafe</w:t>
            </w:r>
            <w:proofErr w:type="spellEnd"/>
            <w:r w:rsidRPr="004C3841">
              <w:rPr>
                <w:rFonts w:ascii="Arial" w:hAnsi="Arial" w:cs="Arial"/>
                <w:sz w:val="24"/>
              </w:rPr>
              <w:t xml:space="preserve"> regarding consultation process for the scheduling of tramadol.</w:t>
            </w:r>
          </w:p>
        </w:tc>
        <w:tc>
          <w:tcPr>
            <w:tcW w:w="1972" w:type="dxa"/>
          </w:tcPr>
          <w:p w:rsidR="007F6F56" w:rsidRPr="004C3841" w:rsidRDefault="007F6F56" w:rsidP="00127C00">
            <w:pPr>
              <w:rPr>
                <w:rFonts w:ascii="Arial" w:hAnsi="Arial" w:cs="Arial"/>
                <w:sz w:val="24"/>
              </w:rPr>
            </w:pPr>
            <w:r w:rsidRPr="004C3841">
              <w:rPr>
                <w:rFonts w:ascii="Arial" w:hAnsi="Arial" w:cs="Arial"/>
                <w:sz w:val="24"/>
              </w:rPr>
              <w:t>Secretariat</w:t>
            </w:r>
          </w:p>
        </w:tc>
        <w:tc>
          <w:tcPr>
            <w:tcW w:w="1457" w:type="dxa"/>
          </w:tcPr>
          <w:p w:rsidR="007F6F56" w:rsidRPr="004C3841" w:rsidRDefault="007F6F56" w:rsidP="00127C00">
            <w:pPr>
              <w:rPr>
                <w:rFonts w:ascii="Arial" w:hAnsi="Arial" w:cs="Arial"/>
                <w:sz w:val="24"/>
              </w:rPr>
            </w:pPr>
          </w:p>
        </w:tc>
      </w:tr>
      <w:tr w:rsidR="007F6F56" w:rsidRPr="006E5033" w:rsidTr="00127C00">
        <w:tc>
          <w:tcPr>
            <w:tcW w:w="720" w:type="dxa"/>
          </w:tcPr>
          <w:p w:rsidR="007F6F56" w:rsidRPr="004C3841" w:rsidRDefault="007F6F56" w:rsidP="00127C00">
            <w:pPr>
              <w:rPr>
                <w:rFonts w:ascii="Arial" w:hAnsi="Arial" w:cs="Arial"/>
                <w:sz w:val="24"/>
              </w:rPr>
            </w:pPr>
            <w:r w:rsidRPr="004C3841">
              <w:rPr>
                <w:rFonts w:ascii="Arial" w:hAnsi="Arial" w:cs="Arial"/>
                <w:sz w:val="24"/>
              </w:rPr>
              <w:t>10</w:t>
            </w:r>
          </w:p>
        </w:tc>
        <w:tc>
          <w:tcPr>
            <w:tcW w:w="5882" w:type="dxa"/>
          </w:tcPr>
          <w:p w:rsidR="007F6F56" w:rsidRPr="004C3841" w:rsidRDefault="007F6F56" w:rsidP="00127C00">
            <w:pPr>
              <w:rPr>
                <w:rFonts w:ascii="Arial" w:hAnsi="Arial" w:cs="Arial"/>
                <w:sz w:val="24"/>
              </w:rPr>
            </w:pPr>
            <w:r w:rsidRPr="004C3841">
              <w:rPr>
                <w:rFonts w:ascii="Arial" w:hAnsi="Arial" w:cs="Arial"/>
                <w:sz w:val="24"/>
              </w:rPr>
              <w:t>Confirm date for next meeting.</w:t>
            </w:r>
          </w:p>
        </w:tc>
        <w:tc>
          <w:tcPr>
            <w:tcW w:w="1972" w:type="dxa"/>
          </w:tcPr>
          <w:p w:rsidR="007F6F56" w:rsidRPr="006E5033" w:rsidRDefault="007F6F56" w:rsidP="00127C00">
            <w:pPr>
              <w:rPr>
                <w:rFonts w:ascii="Arial" w:hAnsi="Arial" w:cs="Arial"/>
                <w:sz w:val="24"/>
              </w:rPr>
            </w:pPr>
            <w:r w:rsidRPr="004C3841">
              <w:rPr>
                <w:rFonts w:ascii="Arial" w:hAnsi="Arial" w:cs="Arial"/>
                <w:sz w:val="24"/>
              </w:rPr>
              <w:t>Secretariat</w:t>
            </w:r>
          </w:p>
        </w:tc>
        <w:tc>
          <w:tcPr>
            <w:tcW w:w="1457" w:type="dxa"/>
          </w:tcPr>
          <w:p w:rsidR="007F6F56" w:rsidRPr="006E5033" w:rsidRDefault="007F6F56" w:rsidP="00127C00">
            <w:pPr>
              <w:rPr>
                <w:rFonts w:ascii="Arial" w:hAnsi="Arial" w:cs="Arial"/>
              </w:rPr>
            </w:pPr>
          </w:p>
        </w:tc>
      </w:tr>
    </w:tbl>
    <w:p w:rsidR="007F6F56" w:rsidRPr="00B57519" w:rsidRDefault="007F6F56" w:rsidP="007F6F56">
      <w:pPr>
        <w:rPr>
          <w:rFonts w:cs="Arial"/>
        </w:rPr>
      </w:pPr>
    </w:p>
    <w:p w:rsidR="007F6F56" w:rsidRPr="00B57519" w:rsidRDefault="007F6F56" w:rsidP="007F6F56">
      <w:pPr>
        <w:rPr>
          <w:rFonts w:cs="Arial"/>
        </w:rPr>
      </w:pPr>
    </w:p>
    <w:p w:rsidR="009866FE" w:rsidRDefault="009866FE"/>
    <w:sectPr w:rsidR="009866FE" w:rsidSect="001800FE">
      <w:pgSz w:w="11907" w:h="16840" w:code="9"/>
      <w:pgMar w:top="567" w:right="992" w:bottom="992" w:left="992" w:header="567" w:footer="567"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B803A8"/>
    <w:multiLevelType w:val="hybridMultilevel"/>
    <w:tmpl w:val="E940B9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2FF51577"/>
    <w:multiLevelType w:val="hybridMultilevel"/>
    <w:tmpl w:val="775203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56"/>
    <w:rsid w:val="00460FDC"/>
    <w:rsid w:val="004C3841"/>
    <w:rsid w:val="004C7B7A"/>
    <w:rsid w:val="005238AA"/>
    <w:rsid w:val="00650622"/>
    <w:rsid w:val="007212AB"/>
    <w:rsid w:val="007E7084"/>
    <w:rsid w:val="007F6F56"/>
    <w:rsid w:val="0089272C"/>
    <w:rsid w:val="009138C8"/>
    <w:rsid w:val="00955FBC"/>
    <w:rsid w:val="009866FE"/>
    <w:rsid w:val="00A30BEB"/>
    <w:rsid w:val="00AA7E28"/>
    <w:rsid w:val="00AD29AE"/>
    <w:rsid w:val="00AF3065"/>
    <w:rsid w:val="00BB07D9"/>
    <w:rsid w:val="00BC391B"/>
    <w:rsid w:val="00CF41FC"/>
    <w:rsid w:val="00D53AFC"/>
    <w:rsid w:val="00DD69A8"/>
    <w:rsid w:val="00E07C36"/>
    <w:rsid w:val="00EA60C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1145B6-9F41-409D-B74F-09F7B38F7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56"/>
    <w:pPr>
      <w:spacing w:after="0" w:line="240" w:lineRule="auto"/>
    </w:pPr>
    <w:rPr>
      <w:rFonts w:eastAsia="Times New Roman" w:cs="Times"/>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6F56"/>
    <w:pPr>
      <w:spacing w:after="0" w:line="240" w:lineRule="auto"/>
    </w:pPr>
    <w:rPr>
      <w:rFonts w:ascii="Times New Roman" w:eastAsia="Times New Roman" w:hAnsi="Times New Roman" w:cs="Times New Roman"/>
      <w:sz w:val="20"/>
      <w:szCs w:val="20"/>
      <w:lang w:eastAsia="en-N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Text"/>
    <w:basedOn w:val="Normal"/>
    <w:rsid w:val="007F6F56"/>
    <w:pPr>
      <w:spacing w:before="120" w:after="120"/>
    </w:pPr>
  </w:style>
  <w:style w:type="paragraph" w:styleId="ListParagraph">
    <w:name w:val="List Paragraph"/>
    <w:basedOn w:val="Normal"/>
    <w:uiPriority w:val="34"/>
    <w:qFormat/>
    <w:rsid w:val="007F6F56"/>
    <w:pPr>
      <w:ind w:left="720"/>
      <w:contextualSpacing/>
    </w:pPr>
    <w:rPr>
      <w:rFonts w:ascii="Times New Roman" w:hAnsi="Times New Roman" w:cs="Times New Roman"/>
      <w:lang w:val="en-GB"/>
    </w:rPr>
  </w:style>
  <w:style w:type="paragraph" w:styleId="BalloonText">
    <w:name w:val="Balloon Text"/>
    <w:basedOn w:val="Normal"/>
    <w:link w:val="BalloonTextChar"/>
    <w:uiPriority w:val="99"/>
    <w:semiHidden/>
    <w:unhideWhenUsed/>
    <w:rsid w:val="007F6F56"/>
    <w:rPr>
      <w:rFonts w:ascii="Tahoma" w:hAnsi="Tahoma" w:cs="Tahoma"/>
      <w:sz w:val="16"/>
      <w:szCs w:val="16"/>
    </w:rPr>
  </w:style>
  <w:style w:type="character" w:customStyle="1" w:styleId="BalloonTextChar">
    <w:name w:val="Balloon Text Char"/>
    <w:basedOn w:val="DefaultParagraphFont"/>
    <w:link w:val="BalloonText"/>
    <w:uiPriority w:val="99"/>
    <w:semiHidden/>
    <w:rsid w:val="007F6F56"/>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5AC32-247F-40BF-A3CE-E80254D37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A130C77F</Template>
  <TotalTime>13</TotalTime>
  <Pages>8</Pages>
  <Words>2948</Words>
  <Characters>16809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19718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Expert Advisory Committee on Drugs meeting 16 April 2015</dc:title>
  <dc:creator>Ministry of Health</dc:creator>
  <cp:lastModifiedBy>Ministry of Health</cp:lastModifiedBy>
  <cp:revision>2</cp:revision>
  <cp:lastPrinted>2016-08-10T21:03:00Z</cp:lastPrinted>
  <dcterms:created xsi:type="dcterms:W3CDTF">2016-09-21T21:36:00Z</dcterms:created>
  <dcterms:modified xsi:type="dcterms:W3CDTF">2016-09-21T21:36:00Z</dcterms:modified>
</cp:coreProperties>
</file>