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Thornton Park Retirement Lodge Limited - Thornton Park Retirement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Thornton Park Retirement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Thornton Park Retirement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October 2017</w:t>
      </w:r>
      <w:bookmarkEnd w:id="7"/>
      <w:r w:rsidRPr="009418D4">
        <w:rPr>
          <w:rFonts w:cs="Arial"/>
        </w:rPr>
        <w:tab/>
        <w:t xml:space="preserve">End date: </w:t>
      </w:r>
      <w:bookmarkStart w:id="8" w:name="AuditEndDate"/>
      <w:r w:rsidR="00A4268A">
        <w:rPr>
          <w:rFonts w:cs="Arial"/>
        </w:rPr>
        <w:t>27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Thornton Park can provide care for up to 42 residents. This unannounced surveillance audit was conducted against the Health and Disability Service Standards and aspects of the service contract with the District Health Board (DHB).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one medical officer.</w:t>
      </w:r>
    </w:p>
    <w:p w:rsidRPr="00A4268A">
      <w:pPr>
        <w:spacing w:before="240" w:line="276" w:lineRule="auto"/>
        <w:rPr>
          <w:rFonts w:eastAsia="Calibri"/>
        </w:rPr>
      </w:pPr>
      <w:r w:rsidRPr="00A4268A">
        <w:rPr>
          <w:rFonts w:eastAsia="Calibri"/>
        </w:rPr>
        <w:t xml:space="preserve">Most requirements identified at the previous audit have been met. These include improvements in relation to advance directives; integration of resident records; some aspects of the quality programme including documentation of adverse events, meetings, risk assessments, internal audits, corrective actions, adverse events; assessments completed by a doctor; documentation of interventions; medication management; food services; and calibration of medical equipment. </w:t>
      </w:r>
    </w:p>
    <w:p w:rsidRPr="00A4268A">
      <w:pPr>
        <w:spacing w:before="240" w:line="276" w:lineRule="auto"/>
        <w:rPr>
          <w:rFonts w:eastAsia="Calibri"/>
        </w:rPr>
      </w:pPr>
      <w:r w:rsidRPr="00A4268A">
        <w:rPr>
          <w:rFonts w:eastAsia="Calibri"/>
        </w:rPr>
        <w:t xml:space="preserve">Requirements are still required to some aspects of the quality programme including organisational plans and policies and procedures; staff training and documentation of assessments. </w:t>
      </w:r>
    </w:p>
    <w:p w:rsidRPr="00A4268A">
      <w:pPr>
        <w:spacing w:before="240" w:line="276" w:lineRule="auto"/>
        <w:rPr>
          <w:rFonts w:eastAsia="Calibri"/>
        </w:rPr>
      </w:pPr>
      <w:r w:rsidRPr="00A4268A">
        <w:rPr>
          <w:rFonts w:eastAsia="Calibri"/>
        </w:rPr>
        <w:t xml:space="preserve">A further improvement identified at this audit is required to completion of performance appraisals.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demonstrates they are provided with adequate information and that communication is open. </w:t>
      </w:r>
    </w:p>
    <w:p w:rsidRPr="00A4268A">
      <w:pPr>
        <w:spacing w:before="240" w:line="276" w:lineRule="auto"/>
        <w:rPr>
          <w:rFonts w:eastAsia="Calibri"/>
        </w:rPr>
      </w:pPr>
      <w:r w:rsidRPr="00A4268A">
        <w:rPr>
          <w:rFonts w:eastAsia="Calibri"/>
        </w:rPr>
        <w:t xml:space="preserve">Communication records are maintained in each resident record. Residents are informed of the complaints process and there are policies and procedures in place to investigate complaints.   The complaints register is current.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clinical nurse manager provides operational management with support from the support administrator. There is a documented quality and risk management system that supports the provision of clinical care and support. Policies are in place and quality and risk performance is reported through meetings. The quality and risk management programme includes analysis and discussion of incidents with an internal audit schedule implemented. </w:t>
      </w:r>
    </w:p>
    <w:p w:rsidRPr="00A4268A">
      <w:pPr>
        <w:spacing w:before="240" w:line="276" w:lineRule="auto"/>
        <w:rPr>
          <w:rFonts w:eastAsia="Calibri"/>
        </w:rPr>
      </w:pPr>
      <w:r w:rsidRPr="00A4268A">
        <w:rPr>
          <w:rFonts w:eastAsia="Calibri"/>
        </w:rPr>
        <w:t>There are human resource policies implemented around selection of staff and orientation. Staff, residents and family confirm that staffing levels are adequate and residents and relatives have access to staff when needed.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provision is coordinated to promote continuity of service delivery. The residents and family interviewed confirm that they have input into care planning. Resident care planning is changed according to the needs or when progress is different from expected. The service uses short-term care plans for acute problems. </w:t>
      </w:r>
    </w:p>
    <w:p w:rsidRPr="00A4268A" w:rsidP="00621629">
      <w:pPr>
        <w:spacing w:before="240" w:line="276" w:lineRule="auto"/>
        <w:rPr>
          <w:rFonts w:eastAsia="Calibri"/>
        </w:rPr>
      </w:pPr>
      <w:r w:rsidRPr="00A4268A">
        <w:rPr>
          <w:rFonts w:eastAsia="Calibri"/>
        </w:rPr>
        <w:t xml:space="preserve">The residents and family interviewed confirm satisfaction with the activities programme. Individual activities are provided either within group settings or on a one-on-one basis. </w:t>
      </w:r>
    </w:p>
    <w:p w:rsidRPr="00A4268A" w:rsidP="00621629">
      <w:pPr>
        <w:spacing w:before="240" w:line="276" w:lineRule="auto"/>
        <w:rPr>
          <w:rFonts w:eastAsia="Calibri"/>
        </w:rPr>
      </w:pPr>
      <w:r w:rsidRPr="00A4268A">
        <w:rPr>
          <w:rFonts w:eastAsia="Calibri"/>
        </w:rPr>
        <w:t xml:space="preserve">There is a secure medicine system in place. Registered nurses administer medication, and all have a current medication management competency.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Equipment is tested annually with electrical checks occurring.  Fixtures, fittings and floor and wall surfaces are made of accepted materials for this environment. Residents have access to outdoor areas that are safe.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approval process for enabler use is activated when a resident voluntarily requests an enabler to assist them to maintain independence and/or safety. There residents using enablers on audit days with monitoring by staff in place when enablers are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policies and procedures guide staff in areas of infection control practice. The infection control surveillance data confirms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0"/>
        <w:gridCol w:w="1280"/>
        <w:gridCol w:w="102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place.  Consent is included in the admission agreement and sought for activities.  Staff seek verbal consent for interventions as part of daily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 an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 that they are provided with opportunities to give consent for interventions. All resident records reviewed include written consent for care to be provided, for outings, sharing of information and for photographs to be used.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the choice to make an advance directive with a policy in place describing the process for documentation. The process for recording an advance directive has been changed following this being raised as an issue at the previous audit. If a resident is deemed not competent to make an advance directive, then this is documented  by the general practitioner with no further documentation required. If the resident is deemed competent, then this is recorded and the resident is able to record whether they wish to be resuscitated or not. The advance directive is retained on file, reviewed annually and only put into practice if the resident is no longer able to make that decision. The improvement required at the previous audit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and procedure is documented and follows Right 10 of the Health and Disability Commissioner's (HDC) Code of Health and Disability Services Consumers' Rights (the Code).  The complaints policy and procedure is explained by the clinical nurse manager or the support administrator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There are complaint forms available at the main entrance to the building.  Residents’ complaints are managed by the clinical nurse manager or support administrator.  An up-to-date resident complaints register is maintained A complaint was tracked prior to the last audit with this resolved in a timely manner as per policy.  Staff, residents and families interviewed have a good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internal complaints, or complaints from external authorities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covering communication, access to interpreters and the clinical nurse manager and support administrator maintain an open-door policy that encourages residents and family to talk with them if there are issues.  Information is provided in a manner that the resident can understand as confirmed by residents interviewed.  Resident meetings are held two monthly and family are encouraged to attend.  </w:t>
            </w:r>
          </w:p>
          <w:p w:rsidR="00EB7645" w:rsidRPr="00BE00C7" w:rsidP="00BE00C7">
            <w:pPr>
              <w:pStyle w:val="OutcomeDescription"/>
              <w:spacing w:before="120" w:after="120"/>
              <w:rPr>
                <w:rFonts w:cs="Arial"/>
                <w:b w:val="0"/>
                <w:lang w:eastAsia="en-NZ"/>
              </w:rPr>
            </w:pPr>
            <w:r w:rsidRPr="00BE00C7">
              <w:rPr>
                <w:rFonts w:cs="Arial"/>
                <w:b w:val="0"/>
                <w:lang w:eastAsia="en-NZ"/>
              </w:rPr>
              <w:t>The incident and accident forms include an area to document if family have been contacted with all reviewed indicating that family are contacted when an incident has occurred. Open disclosure is practised and documented when family are contacted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that they are kept well informed, and that management and staff communicate in an open manner.  Relatives confirm that they are advised if there is a change in their family member's health status.  The general practitioner (GP) interviewed reported satisfaction with communication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privately owned.  The service provides for residents requiring rest home or hospital level of care with 18 residents requiring rest home level of care and 19 requiring hospital level care on the days of audit. There were no residents supported through respite care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statement and values are documented and known to staff, residents and family members.  Organisational plans such as the strategic plan and organisational risk management plan are to be reviewed and documented for the current year and the improvement required at the previous audit remains.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is monitored by the clinical nurse manager and support administrator with support from the owner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responsible for ensuring services are planned, coordinated and appropriate to meet the needs of the residents.  The clinical nurse manager is a registered nurse with a current practising certificate and has been in the role for over eight years.  The clinical nurse manager has over 20 years’ experience in aged care, and has management training through an external association annually.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has competed at least eight hours of education in the last year to maintain their practising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 is documented and identifies objectives for the service (refer 1.2.1.1). Activities within the quality and risk management programme include health and safety, adverse event reporting, infection prevention and restraint minimisation. There are policies in place that have been reviewed at least two yearly however documentation of links to legislation and evidence continues to be required. Policies are also required to include reference to changes in practice such as interRAI, Health and Safety at Work (General Risk and Workplace Management) Regulations 2016 and pressure injuries.  A document control system is implemented. The improvement required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Quality related data and outcomes are collated with information documented in meeting minutes. There are monthly or two monthly meetings held to discuss issues with documentation in meeting minutes evidencing clinical review and discussion. The improvement required at the previous audit has been met. Meetings include the following: quality; coordinator meeting (including heads of departments such as kitchen, nursing, health and safety, housekeeping); registered nurse meeting, caregiver meeting; (three monthly meetings) and kitchen meeting. Meetings with laundry staff are held when required.  Staff interviewed describe understanding and implementing the quality and risk management programme. There are three to four monthly resident and family meetings with evidence of discussion. Corrective action plans are documented and there is evidence of resolution. The improvement required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that is implemented with risk assessments documented. These include risk assessments of areas of service delivery such as human resources, food services, security, restraint, falls, manual handling, infection control, emergency services, waste management and resident potential abuse or neglect. The risk assessments have been reviewed. This includes a review of resident files. The improvements to the review of risk assessments and internal audits of resident files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requirements, including hazard identification, is discussed at the coordinator and other meetings.  Managers, staff, residents and family can describe input into the health and safety programme through relevant meetings and through discussions with the clinical nurse manager or support administrator.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have a wide range of mechanisms available that support them to have input into service delivery and organisational improvement. This includes a six-monthly visitor experience survey; a care evaluation survey and a food service survey. All indicate that there is a high level of satisfaction with the service. A gazette is sent to family two monthly with this available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managing adverse events (both clinical and non-clinical).  A review of the adverse event reporting system confirmed that incidents and accidents are being reported. Any incidents documented in progress notes are recorded using the incident reporting process.  The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The incident forms that have been completed show evidence of immediate responses, investigations and remedial actions being implemented as required.  Incidents that are unwitnessed or that include an injury to the head show that neurological recordings are taken for a sustained period. This includes reporting to family members and informing the general practitioner.  The general practitioner confirmed that they are informed of any incidents in a timely manner. The review confirmed that documented incidents and accidents were closed in a timely manner with actions taken to address issues raised.  Actions included taking and recording of neurological observations. The improvement required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understands their statutory and/or regulatory obligations in relation to essential notification reporting and the correct authority is notified where required.  Reporting has been completed as per contractual specifications with a pressure injury identified prior to the last audit now reported to HealthCERT using a section 31. The improvement required at the previous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established system in place for human resource management.</w:t>
            </w:r>
          </w:p>
          <w:p w:rsidR="00EB7645" w:rsidRPr="00BE00C7" w:rsidP="00BE00C7">
            <w:pPr>
              <w:pStyle w:val="OutcomeDescription"/>
              <w:spacing w:before="120" w:after="120"/>
              <w:rPr>
                <w:rFonts w:cs="Arial"/>
                <w:b w:val="0"/>
                <w:lang w:eastAsia="en-NZ"/>
              </w:rPr>
            </w:pPr>
            <w:r w:rsidRPr="00BE00C7">
              <w:rPr>
                <w:rFonts w:cs="Arial"/>
                <w:b w:val="0"/>
                <w:lang w:eastAsia="en-NZ"/>
              </w:rPr>
              <w:t>All staff records reviewed include an employment agreement and a position description.  Staff have criminal vetting prior to appointment and professional qualifications are validated.  All staff receive an orientation and participate in ongoing education when this is offered.  Training related to clinical practice and care is not routinely provided. The improvement required at the previous audit remains. A training plan is not documented for the current year and an improvement is required. Performance appraisals are not completed for all staff who have been employed for 12 months or more on an annual basis and an improvement is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in charge on each shift.  Files of registered nurses reviewed hold current first aid certificates.  The clinical nurse manager and one registered nurse are interRAI competent.  Medicines are given by registered nurses and caregivers who have been assessed as competent. Staff administering medicines maintain competency which is assessed annually by a registered nurse who has been assessed as competent.  Staff participate in meetings and confirm that they are kept up-to-date on changes occurring within the service or matters of concern through handover and open dialogue with the clinical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determining provider levels and skill mix is defined in policy and considers the layout of the facility and levels of care provided.  The clinical nurse manager develops staff rosters.  Rosters and staff interviewed and observation on the days of audit confirmed there are sufficient numbers of staff in each wing to meet needs of each resident.  Registered nurses are on duty each shift and are supported by caregivers including staff who have been working in the service for over 10 years.  The clinical nurse manager is on site Monday to Friday and on call for clinical emergencies/concerns.  The clinical nurse manager lives on the same site as the rest home and hospital and they state that they would respond immediately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full complement of registered nurses with a registered nurse on each shift. There are four caregivers on the morning shift (with an extra two staff who work four hours only); two caregivers in the afternoon with two other caregivers who work four hours each over busy times and one caregiver overnight. The clinical nurse manager has a matrix that adjusts staffing levels to numbers of residents. The clinical nurse manager and staff state that extra staff are rostered onto shifts or brought on if acuity of residents increases.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Paper-based resident records are maintained for each resident.  All records are maintained confidentially.  The resident records are stored in a locked cupboard in the nurse`s station with other information kept in the clinical nurse manager’s office and in the support assistant’s office.  The files record information for ongoing care and support being provided.  Records are now integrated with archived records kept in a sequential manner. The improvement required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 password to access any electronic files with a back of information kept off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past and present residents is maintained electronically.  InterRAI assessments are completed by the registered nurses and inform the development of the resident’s plan of care (refer 1.3.4).  Progress records are clearly documented by the staff in the paper-based record.  The date, time, signatures and designation of those entering into the records is legible.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room that holds any medicines, including controlled drugs. The room ensures that medicines are kept in a cool area that has sufficient light, with medicines stored in original dispensed packs.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is maintained and evidenced weekly checks. Six monthly physical stock takes are conducted. The improvement required at the previous audit has been met. There are no residents requiring the use of controlled drugs currently.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taken weekly and recorded. The temperatures reviewed are within normal range as per policy. </w:t>
            </w:r>
          </w:p>
          <w:p w:rsidR="00EB7645" w:rsidRPr="00BE00C7" w:rsidP="00BE00C7">
            <w:pPr>
              <w:pStyle w:val="OutcomeDescription"/>
              <w:spacing w:before="120" w:after="120"/>
              <w:rPr>
                <w:rFonts w:cs="Arial"/>
                <w:b w:val="0"/>
                <w:lang w:eastAsia="en-NZ"/>
              </w:rPr>
            </w:pPr>
            <w:r w:rsidRPr="00BE00C7">
              <w:rPr>
                <w:rFonts w:cs="Arial"/>
                <w:b w:val="0"/>
                <w:lang w:eastAsia="en-NZ"/>
              </w:rPr>
              <w:t>There is a medication management policy that requires review (refer to 1.2.3).</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 observed indicates that staff members are knowledgeable about the medicines administered and administration is signed off as soon as the dose has been administered. Staff education in medicine management is conducted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records include photo identification with the original photograph signed and dated as a true and correct likeness in the resident record. The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As required (PRN) medication is identified for individual residents and indications of use are recorded. The improvement required at the previous audit has been met. Three monthly medicine reviews are completed. The improvement required at the previous audit has been met. Discontinued medicines are signed off and dated indicating that these are no longer required. The improvement required at the previous audit has been met. There are no residents self-administering medicines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require review (refer to 1.2.3). There is a four-week seasonal menu reviewed by a dietitian in 2017. The kitchen coordinator oversees food services and ensures that staff are familiar with how to cook each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aware of the residents’ individual dietary needs with these documented clearly in the kitchen. Documentation of dietary needs for any new resident is provided by the registered nurse to the kitchen staff with this observed as occurring in the kitchen on the day of audit. The residents' dietary requirements are identified, documented and reviewed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demonstrate monthly monitoring of individual resident's weight. Resident records evidence residents’ dietary intake monitoring. In interviews, residents state they are satisfied with the food service. They report that their individual preferences are met, and adequate food and fluids is provided. The food satisfaction survey completed six monthly confirms a high level of satisfaction with food services. </w:t>
            </w:r>
          </w:p>
          <w:p w:rsidR="00EB7645" w:rsidRPr="00BE00C7" w:rsidP="00BE00C7">
            <w:pPr>
              <w:pStyle w:val="OutcomeDescription"/>
              <w:spacing w:before="120" w:after="120"/>
              <w:rPr>
                <w:rFonts w:cs="Arial"/>
                <w:b w:val="0"/>
                <w:lang w:eastAsia="en-NZ"/>
              </w:rPr>
            </w:pPr>
            <w:r w:rsidRPr="00BE00C7">
              <w:rPr>
                <w:rFonts w:cs="Arial"/>
                <w:b w:val="0"/>
                <w:lang w:eastAsia="en-NZ"/>
              </w:rPr>
              <w:t>The fridge, chiller and freezer temperatures are recorded. Food temperatures are taken once a week with temperatures within normal range as per policy. Decanted foods are dated. Pantry selves meet infection control standards. The improvement required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Kitchen staff are aware of kitchen cleaning requirements and interviews confirmed a cleaning schedule is followed. While this list of tasks is not signed off, the kitchen coordinator monitors this daily. The kitchen was observed to be clean and tidy on the days of audit. There is no evidence of peeling paint on pantry shelves. The improvement required at the previous audit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in place to seek information from a range of sources. These include access, for example to family; general practitioner; specialists and referrer, as confirmed at staff interviews. Residents’ files document the required initial assessments which are completed on admission or reviewed when required in both rest home and hospital resident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 residents' discharge/transfer information from the district health board (DHB), when required. Residents’ assessments are conducted in the resident bedrooms or in a private space. </w:t>
            </w:r>
          </w:p>
          <w:p w:rsidR="00EB7645" w:rsidRPr="00BE00C7" w:rsidP="00BE00C7">
            <w:pPr>
              <w:pStyle w:val="OutcomeDescription"/>
              <w:spacing w:before="120" w:after="120"/>
              <w:rPr>
                <w:rFonts w:cs="Arial"/>
                <w:b w:val="0"/>
                <w:lang w:eastAsia="en-NZ"/>
              </w:rPr>
            </w:pPr>
            <w:r w:rsidRPr="00BE00C7">
              <w:rPr>
                <w:rFonts w:cs="Arial"/>
                <w:b w:val="0"/>
                <w:lang w:eastAsia="en-NZ"/>
              </w:rPr>
              <w:t>Two residents admitted since the last audit have not had an interRAI assessment completed within the first three weeks of admission. The improvement required at the previous audit remains. Each resident has specialised risk assessments completed as part of the initial assessment period and a full nursing assessment completed. All specialised risk assessments and the interRAI assessments are completed at six monthly intervals. The resident records reviewed indicate that the following is now completed: pain assessments for residents experiencing pain; pressure area risk assessments; wound assessments and wound care plans for any resident with a wound.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detailed interventions based on assessed needs (refer 1.3.4) and desired outcomes or goals of the residents. When issues are identified on a risk assessment, then these are transferred to a short-term care plan or to a wound management plan. There are no residents with wounds currently however records of residents who have had a wound in the past year were reviewed and these indicate that good practice is consistently followed. Each resident has a wound assessment; management plan and documentation of review of progress. Resolution is signed off when the issue has been resolved. The improvements required at the previous audit related to documentation of interventions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documentation and records completed by the general practitioner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residents and family confirm their and their relatives’ current care and treatments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officer implements an activities programme four days a week for seven hours a day. They are also available to offer activities on other days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completed by the activities officer, with dates of entry and signatures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evidenced in assessment data and includes opportunities for spiritual and cultural connections.  Activities reflect residents’ goals, ordinary patterns of life and include normal community activities.  Family/whanau and friends are welcome to attend all activities. Group activities are developed according to the needs and preferences of the residents who choose to participate. Individual activities are offered.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officer reported that residents have opportunities at resident meetings to discuss activities they would like included in the programme. This is evidenced in sighted resident meeting minutes. Residents were observed to enjoy activities offered during the audit.  Activities are voluntary and this was evidenced on audit days with some residents choosing not to engage in the planned activities.  Residents’ attendance records are maintained and the activities officer records resident involvement in the activities programme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current and reviewed six monthly. Care plan evaluations are documented and record the degree of achievement to the interventions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registered nurse contacts the general practitioner. The general practitioner confirms that any needs are escalated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and wound management plans are recorded when required and reviewed in a timely manner. The improvement required at the previous audit has been met. The family are notified of any changes in resident's condition as confirmed through family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There is a proactive approach to maintenance with no issues identified during the days on audit. Planned and reactive maintenance is implemented by the maintenance staff and contractors.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internally and externally is maintained to minimise risk of harm, promote safe mobility, aid independence and is appropriate to the needs of the current residents. </w:t>
            </w:r>
          </w:p>
          <w:p w:rsidR="00EB7645" w:rsidRPr="00BE00C7" w:rsidP="00BE00C7">
            <w:pPr>
              <w:pStyle w:val="OutcomeDescription"/>
              <w:spacing w:before="120" w:after="120"/>
              <w:rPr>
                <w:rFonts w:cs="Arial"/>
                <w:b w:val="0"/>
                <w:lang w:eastAsia="en-NZ"/>
              </w:rPr>
            </w:pPr>
            <w:r w:rsidRPr="00BE00C7">
              <w:rPr>
                <w:rFonts w:cs="Arial"/>
                <w:b w:val="0"/>
                <w:lang w:eastAsia="en-NZ"/>
              </w:rPr>
              <w:t>The electrical equipment is checked, and records maintained with this including testing of resident property.  Testing and calibration checks of medical measuring equipment has occurred within the last year.   The improvement required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transport residents to appointments and other engagements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(clinical nurse manager) is responsible for the surveillance programme. Clear definitions of surveillance and types of infections (for example; facility-acquired infections) are documented to guide staff. Information is collated monthly.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of infections is documented in the registered nurse meeting minutes and discussed. Data and discussion is also evidenced in coordinator and caregiver meetings as relevant to the meeting attendees. Infections are investigated, and appropriate plans of action are sighted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Staff confirm that they are made aware of any infections of individual residents by way of feedback from the registered nurses, verbal handovers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of assessment, care planning, monitoring and evaluation of restraint and enabler use is recorded, however the policy requires review (refer to 1.2.3). There are residents at the facility using enablers and residents using restraint at time of audit. There is evidence that staff use strategies to minimise restraint and restraint practices are the last resort.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0"/>
        <w:gridCol w:w="1280"/>
        <w:gridCol w:w="5710"/>
        <w:gridCol w:w="2790"/>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partially documented strategic, business and quality plan that includes goals for the service. There is also an organisational risk management plan that identifies key risks and strategies to mitigate or eliminate risks. The clinical nurse manager states that these are currently with the owner to review and develop further.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plans are not detailed sufficiently to include actions, accountabilities and timeframes with evidence of review at regular intervals. The improvement required at the previous audit remains and the risk rating has been raised from low to moderate.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documentation of current plans and review at regular intervals throughout the year.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documented and reviewed two yearly. Links to legislation and evidence and best practice are not documented and the policies do not reflect changes in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 not link to legislation and do not reflect changes in practice. The improvement required at the previous audit remains with the risk rating raised to moderate.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policies to reflect links to legislation and changes in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past there has been education for staff with a record maintained of staff attendance. Some education has been offered to staff in 2015 and 2016. A training plan is not documented for 2017. The clinical nurse manager states that care staff have had training related to clinical practice however this is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performance appraisals annually in the past however five staff files reviewed do not indicate that these have been completed in the last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not had sufficient training over the past two years to include clinically based topics and changes to policy and procedure. The improvement required at the previous audit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training plan for 2017 is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not had a performance appraisal annually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and implement the annual training plan to include clinically based topics and changes to policy and procedure.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and implement an annual training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have an annual training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nursing assessment and specialised risk assessments completed on the day of entry to the service. Ongoing specialised risk assessments are completed six monthly or when changes occur. The clinical nurse manager and a senior registered nurse are trained to completed interRAI assessments and have worked to address the lack of interRAI assessments completed at the last audit. The clinical nurse manager is trying to put other registered nurse into training however they state that there is a waiting list for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interRAI assessments are inconsistently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initial interRAI assessments are completed for any new resident within three weeks of entry to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Thornton Park Retirement Lodge Limited - Thornton Park Retirement Lodge</w:t>
    </w:r>
    <w:bookmarkEnd w:id="58"/>
    <w:r>
      <w:rPr>
        <w:rFonts w:cs="Arial"/>
        <w:sz w:val="16"/>
        <w:szCs w:val="20"/>
      </w:rPr>
      <w:tab/>
      <w:t xml:space="preserve">Date of Audit: </w:t>
    </w:r>
    <w:bookmarkStart w:id="59" w:name="AuditStartDate1"/>
    <w:r>
      <w:rPr>
        <w:rFonts w:cs="Arial"/>
        <w:sz w:val="16"/>
        <w:szCs w:val="20"/>
      </w:rPr>
      <w:t>26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