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Lansdowne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Lansdowne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July 2017</w:t>
      </w:r>
      <w:bookmarkEnd w:id="7"/>
      <w:r w:rsidRPr="009418D4">
        <w:rPr>
          <w:rFonts w:cs="Arial"/>
        </w:rPr>
        <w:tab/>
        <w:t xml:space="preserve">End date: </w:t>
      </w:r>
      <w:bookmarkStart w:id="8" w:name="AuditEndDate"/>
      <w:r w:rsidR="00A4268A">
        <w:rPr>
          <w:rFonts w:cs="Arial"/>
        </w:rPr>
        <w:t>25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Lansdowne is owned and operated by the CHT Healthcare Trust and cares for up to 95 residents requiring rest home or hospital level care.  On the day of the audit, there were 94 residents.  The service is overseen by a unit manager who is qualified and experienced for the role, and is supported by an acting clinical coordinator and the area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Six of seven shortfalls identified at the previous audit have been addressed.  These were around interRAI assessment timeframes and links to care plans, complaint management, staff orientations, evaluations and updating care plans when needs change.  Improvement continues to be required around care planning.</w:t>
      </w:r>
    </w:p>
    <w:p w:rsidRPr="00A4268A">
      <w:pPr>
        <w:spacing w:before="240" w:line="276" w:lineRule="auto"/>
        <w:rPr>
          <w:rFonts w:eastAsia="Calibri"/>
        </w:rPr>
      </w:pPr>
      <w:r w:rsidRPr="00A4268A">
        <w:rPr>
          <w:rFonts w:eastAsia="Calibri"/>
        </w:rPr>
        <w:t xml:space="preserve">This audit has identified additional areas for improvement around incident reporting, wound documentation, one care aspect for one resident, medication management and food storage.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A system for managing complaints is in place.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CHT Lansdowne (Lansdowne) has a quality and risk management programme that outlines key objectives for the current year.  Aspects of quality information are reported at the monthly quality/health and safety meetings.  Residents and relatives are provided with the opportunity to feedback on service delivery issues at three monthly resident meetings and via satisfaction surveys.  There is a reporting process being used to record and manage resident accident/incidents.  Accident/incidents are collated monthly and reported to facility meetings.  Lansdowne has job descriptions for all positions that include the role and responsibilities of the position.  There is an annual in-service training programme and staff are supported to undertake external training.  The service has a documented rationale for determining staffing and healthcare assistants.  Residents and family members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completes initial assessments.  Residents and family interviewed confirmed they were involved in the care planning and review process.  Each resident has access to an individual and group activities programme.  The group programme is varied and interesting.  Staff have had education around medication management and all staff who administer medications have completed a competency assessment.  General practitioners review residents at least three-monthly or more frequently if needed.  Meals are prepared on-site.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procedures and documents for the safe assessment, planning, monitoring and review of restraint and enablers.  There were no residents with a restraint and two residents using enablers at the time of audit.  Staff have received education and training on restraint minimisation and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Complaints received are discussed in the monthly quality/health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in place.  Eleven complaints were made in 2016 and seven complaints received in 2017 year to date.  All complaints reviewed have been signed off as resolved.  Two complaints made through the Health and Disability Commissioner (HDC) in 2016 were investigated and followed up.  The HDC sent letters stating that the complaints were closed off.  One complaint made through the local district health board (DHB) in 2016 was investigated and any corrective actions required have been followed up and implemented.  A review of the complaints register evidences that the appropriate actions have been taken and the complainant received documented outcome of the complaint.  The previous certification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interviewed (four hospital and three rest home)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Fourteen accident/incident forms were reviewed.  The accident/incident form includes a section to record family notification.  All fourteen accident/incident forms reviewed indicate family are informed.  Two families interviewed (hospital level) confirmed they are notified of any changes in their family member’s health status.  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Lansdowne is owned and operated by the CHT Healthcare Trust.  The service provides rest home and hospital level care for up to 95 residents.  All beds are dual-purpose beds.  On the day of the audit there were 94 residents in total, 19 rest home and 75 hospital level residents.  This includes one hospital resident on a younger person with disabilities (YPD) contract and two residents on an interim orthopaedic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(RN) who maintains an annual practicing certificate.  She has been in the role for two years and was previously the clinical manager at Lansdowne for eight years.  She is supported by a clinical coordinator, who has been in the position since April 2017.  Management staff are supported by an area manager.  The unit manager reports to the area manager weekly on a variety of operational issues.  The unit manager has completed in excess of eight hours of professional development relating to the management of an aged care service in the past twelve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and CHT Lansdowne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quality system continues to be implemented at the service.  Interviews with staff and review of the monthly quality/health and safety meetings confirms that quality data is discussed at three monthly quality/health and safety/staff meetings to which all staff are invited.  The unit manager advised that she is responsible for providing oversight of the quality programme.  Residents and relatives are provided with the opportunity to feedback on service delivery issues at three monthly resident meetings and via satisfaction surveys.  Annual resident and relative surveys are completed with results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with input from facility staff every two years.  New/updated policies are sent from head office.  Staff have access to manuals.  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unit manager and clinical coordinator investigate accidents and near misses and analysis of incident trends occurs.  There is a discussion of accident/incidents at monthly quality/health and safety meetings including actions to minimise recurrence.  Fourteen accident/incident forms reviewed documented that clinical follow-up of residents is conducted by a RN.  Not all resident accident/incidents had been completed on an accident/incident form.  Discussions with the unit manager and area manager confirmed that there is an awareness of the requirement to notify relevant authorities in relation to essential notifications.  There have been no coroners’ inquests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including the requirement that relevant checks are completed to validate the individual’s qualifications, experience and veracity.  A copy of practising certificates is kept.  Seven staff files reviewed, one clinical coordinator, two RNs, one activities coordinator and three healthcare assistants (HCAs) evidences that reference checks are completed before employment is offered.  Annual staff appraisals and orientation checklists were evident in all seven of the staff files reviewed.  The previous certification audit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2016 has been completed and the 2017 programme is being implemented.  Healthcare assistants have completed an aged care education programme.  The unit manager and RNs can attend external training including sessions provided by the local DHB.  Nine of thirteen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Staff are rostered on to manage the care requirements of the residents.  The facility consists of three interlinked hospital level units (two 20 bed units and one 15 bed unit) and two rest home units (20 beds per unit).  In addition to the unit manager and clinical coordinator who work Monday to Friday, three RNs are rostered on the AM shift and three RNs on the PM shift (two in the 20 bed hospital units and one in the rest home units) and one RN in one of the 20 bed hospital units on the night shift.  The RNs hold current first aid/CPR certification.  </w:t>
            </w:r>
          </w:p>
          <w:p w:rsidR="00EB7645" w:rsidRPr="00BE00C7" w:rsidP="00BE00C7">
            <w:pPr>
              <w:pStyle w:val="OutcomeDescription"/>
              <w:spacing w:before="120" w:after="120"/>
              <w:rPr>
                <w:rFonts w:cs="Arial"/>
                <w:b w:val="0"/>
                <w:lang w:eastAsia="en-NZ"/>
              </w:rPr>
            </w:pPr>
            <w:r w:rsidRPr="00BE00C7">
              <w:rPr>
                <w:rFonts w:cs="Arial"/>
                <w:b w:val="0"/>
                <w:lang w:eastAsia="en-NZ"/>
              </w:rPr>
              <w:t>Adequate numbers of HCAs are rostered with four HCAs rostered on the morning shift, two HCAs on the afternoon shift and one HCA on the night shift in the two 20 bed hospital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HCAs rostered on the morning shift, two HCAs on the afternoon shift and one HCA on the night shift in the 15 bed hospital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HCAs rostered on the morning shift, three HCAs on the afternoon shift and one HCA on the night shift in the two 20 bed rest home units.  </w:t>
            </w:r>
          </w:p>
          <w:p w:rsidR="00EB7645" w:rsidRPr="00BE00C7" w:rsidP="00BE00C7">
            <w:pPr>
              <w:pStyle w:val="OutcomeDescription"/>
              <w:spacing w:before="120" w:after="120"/>
              <w:rPr>
                <w:rFonts w:cs="Arial"/>
                <w:b w:val="0"/>
                <w:lang w:eastAsia="en-NZ"/>
              </w:rPr>
            </w:pPr>
            <w:r w:rsidRPr="00BE00C7">
              <w:rPr>
                <w:rFonts w:cs="Arial"/>
                <w:b w:val="0"/>
                <w:lang w:eastAsia="en-NZ"/>
              </w:rPr>
              <w:t>Extra staff are called on for increased resident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did not comply with the medication management policy for the medication round sighted.  Medication prescribed is signed as administered on the pharmacy generated signing chart.  Registered nurses and senior health care assistants administer medicines.  All staff that administer medication are competent and have received medication management training.  The facility uses a robotic pack medication-management system for the packaging of all tablets.  The RN on duty reconciles the delivery and documents this.  Controlled drugs are stored securely and signed out by two people.  However, not all required weekly checks have occurred.  Medical practitioners write medication charts correctly and there was evidence of three-monthly reviews by the GP.  One resident self-administers medicines but does not have a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on-site by contracted kitchen staff.  There is a food-services manual in place to guide staff.  A resident nutritional profile is developed for each resident on admission and is provided to the kitchen staff.  This document is reviewed at least six-monthly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recently by a dietitian.  The temperatures of refrigerators, freezers and cooked foods are not always monitored and recorded.  There is special equipment available for residents if required.  Not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relevant personal needs information is gathered during admission in consultation with the resident and their relative where appropriate.  Relevant risk assessment tools were completed on admission and risk assessments were reviewed at least six-monthly or when there was a change to a resident’s health condition in files sampled.  InterRAI assessments are occurring and all residents have been assessed to date.  InterRAI initial assessments and assessment summaries were evident in printed format in all files, and were comprehensively completed.  This is an improvement since the previous audit.  The care plans are developed on the basis of these assessments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care plans reviewed described the support required to meet the resident’s goals and needs and identified allied health involvement under a comprehensive range of template headings.  The issue around care plan interventions identified in the previous audit continues to require improvement.  Residents and their family/whānau are involved in the care planning and review process.  Short-term care plans were in use and were utilised for changes in health status or acute needs and were evaluated on a regular basis and signed-off as resolved or transferred to the long-term care plan.  There was evidence of service integration with documented input from a range of specialist care professionals.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(including the clinical coordinator) and healthcare assistants follow the care plan (link 1.3.5.2)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Behaviour monitoring occurred and interventions including triggers to manage behaviour were documented in two care plans sampled for residents with behaviours that challenge.  Healthcare assistants interviewed could describe the management of behaviours and were observed implementing these.</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and management plans were not in place for every wound.  Monitoring was documented for all wounds including pressure areas.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the clinical coordinator and healthcare assistants demonstrated an understanding of the individualised needs of residents.  Food and fluid charts are comprehensively completed as required.  However, one resident had not had a blood test as requested by the DHB.</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including intentional rounding, food and fluid charts and turning charts demonstrated interventions to meet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activities coordinators are employed (one full time Monday to Friday and one part-time (25 hours – who also covers weekends) to operate the activities programme for all residents over seven days.  A separate programme is run in the rest home and the hospital with residents able to choose which programme they would like to attend.  Each resident has an individual activities assessment on admission by the registered nurses, with input from the activities staff.  An individual activities plan is then developed as part of the care plan.  Residents are free to choose whether to participate in the group activities programme or their individual plan and participation is monitored.  Group activities reflect ordinary patterns of life and include planned visits to and activities within the community.  All long-term resident files sampled have a recent activity plan within the care plan and this is evaluated at least six-monthly when the care plan is evaluated.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There is at least a three-monthly review by the GP.  An RN completes care plan reviews and all reviews sampled documented progress toward the goals.  This is an improvement since the previous audit.  All files evidenced that changes had been initiated to the care plan where progress was different from expected.  This is an improvement since the previous audit.  Short-term care plans are evaluated and resolved or added to the long-term care plan if the problem is ongoing, as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employed to address the reactive and planned maintenance programme.  All medical and electrical equipment has been recently serviced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4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 clinical coordinator is the designated restraint coordinator.  On the day of the audit there were no residents with a restraint and two hospital level residents using enablers.  Restraint processes are implemented to assess residents for enabler use, which is voluntary.  Staff interviews and staff training records evidence guidance has been given on restraint minimisation and enabler usage.  Restraint/enablers are discussed in the monthly quality/health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6"/>
        <w:gridCol w:w="1280"/>
        <w:gridCol w:w="5722"/>
        <w:gridCol w:w="3244"/>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and clinical coordinator investigate accidents and near misses and analysis of incident trends occurs.  Fourteen accident/incident forms reviewed documented that clinical follow-up of residents is conducted by a RN.  Not all resident accident/incidents have been completed on an accident/incident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accident/incident forms were not completed for bruising incidents that were documented in the resident’s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accident/incident forms are completed for all residents’ accident/incidents that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have been assessed as competent to do so.  All prescribed medications have been signed as administered.  Medications are stored safely in each medication room (rest home and hospital) and all eye drops in use had been dated when they were opened.  The unlocked medication trolley was left unattended in the rest home.  Controlled drug weekly checks have occurred in the hospital but not always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During the observed medication round the registered nurse left the unlocked medication trolley in the dining room at lunchtime and left the room to get something from the treatment room.  (ii) Weekly controlled drug checks have not always occurred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medications are stored safely at all times including during medication rounds.  (ii)  Ensure weekly controlled drugs checks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rest home level resident who self-administers medication.  The medications were observed to be stored safely and the resident could describe appropriate management of their medication.  No competency assessment had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that self-administers medication did not have a competency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that self-administer medications have a current competency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contracted provider of the food service has appropriate policies around food storage including temperature monitoring and labelling and the main cook described these when interviewed.  However, they had not been implemented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Cool stored and freezer temperatures had not been recorded for the five days prior to the audit.  (ii) There was food in the cool store and pantry that was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cool store and freezer temperatures are recorded daily as per policy.  (ii) Ensure all stored food is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care plans described the support and interventions required to meet the resident’s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rest home resident care plan sampled did not address shortness of breath or the need for an air mattress; (ii) one rest home resident file did not address the falls risk.  (iii) One hospital resident care plan sampled did not address aspiration risk or the interventions related to the resident being a diabetic on insulin.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care plans fully document all interventions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have completed training around wound assessment and management, including the management of pressure injuries.  Four of twelve minor wounds had adequate assessments documented, as did three of the four current pressure injuries.  Not all wounds had a documented management plan but regular reviews were documented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residents and a review of resident files indicated that all required interventions for long-term residents had been addressed.  The interim orthopaedic scheme contract does not require the service to provide medical services to residents.  The resident file sampled for a resident on this contract had documented in the discharge summary that the resident needed a blood test, four weeks after discharge.  The resident’s regular GP had declined to provide a service to the resident while they were in Lansdowne and a house GP had charted the resident’s medications.  While it was not specifically the service’s responsibility to arrange the blood test under the terms of the contract, the discharging service had not been notified that the service would not undertake this and the blood test had not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 of twelve minor wounds did not have a comprehensive assessment.  (ii) One of the four current pressure injuries did not have the grade or depth documented.  (iii)Three of twelve minor wounds and one of four pressure injuries did not have a documented wound management plan.  (iv) The one resident file sampled for a resident on the interim orthopaedic scheme had an instruction for a blood test in the hospital discharge summary.  This had not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and (iii).  Ensure all wounds have a comprehensive assessment and management plan documented.  (iv)  Ensure all cares/procedures required in discharge summaries occur, either by the service or as arranged by the service by another agency.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Lansdowne Hospital and Rest Home</w:t>
    </w:r>
    <w:bookmarkEnd w:id="58"/>
    <w:r>
      <w:rPr>
        <w:rFonts w:cs="Arial"/>
        <w:sz w:val="16"/>
        <w:szCs w:val="20"/>
      </w:rPr>
      <w:tab/>
      <w:t xml:space="preserve">Date of Audit: </w:t>
    </w:r>
    <w:bookmarkStart w:id="59" w:name="AuditStartDate1"/>
    <w:r>
      <w:rPr>
        <w:rFonts w:cs="Arial"/>
        <w:sz w:val="16"/>
        <w:szCs w:val="20"/>
      </w:rPr>
      <w:t>25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