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Bucklands Beach Rest Home Limited - Bucklands Beach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Bucklands Beach Resthome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Bucklands Beach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September 2017</w:t>
      </w:r>
      <w:bookmarkEnd w:id="7"/>
      <w:r w:rsidRPr="009418D4">
        <w:rPr>
          <w:rFonts w:cs="Arial"/>
        </w:rPr>
        <w:tab/>
        <w:t xml:space="preserve">End date: </w:t>
      </w:r>
      <w:bookmarkStart w:id="8" w:name="AuditEndDate"/>
      <w:r w:rsidR="00A4268A">
        <w:rPr>
          <w:rFonts w:cs="Arial"/>
        </w:rPr>
        <w:t>13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Bucklands Beach Rest Home provides rest home level care for up to 20 residents.  On the day of the audit there were 19 residents living at the facility.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facility manager is a registered nurse.  She is appropriately qualified and experienced and is supported by experienced staff.  Residents and family interviewed were complimentary of the service they receive.  </w:t>
      </w:r>
    </w:p>
    <w:p w:rsidRPr="00A4268A">
      <w:pPr>
        <w:spacing w:before="240" w:line="276" w:lineRule="auto"/>
        <w:rPr>
          <w:rFonts w:eastAsia="Calibri"/>
        </w:rPr>
      </w:pPr>
      <w:r w:rsidRPr="00A4268A">
        <w:rPr>
          <w:rFonts w:eastAsia="Calibri"/>
        </w:rPr>
        <w:t xml:space="preserve">This certification audit identified that improvements are required in relation to medication management and call bells.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services provided is readily available to residents and families/whānau.  The Health and Disability Commissioner (HDC) Code of Health and Disability Services Consumers' Rights (the Code) is available in the information presented to residents and their families during entry to the service.  Policies are implemented to support rights such as privacy, dignity, abuse and neglect, culture, values and beliefs, complaints, advocacy and informed consent.  </w:t>
      </w:r>
    </w:p>
    <w:p w:rsidRPr="00A4268A">
      <w:pPr>
        <w:spacing w:before="240" w:line="276" w:lineRule="auto"/>
        <w:rPr>
          <w:rFonts w:eastAsia="Calibri"/>
        </w:rPr>
      </w:pPr>
      <w:r w:rsidRPr="00A4268A">
        <w:rPr>
          <w:rFonts w:eastAsia="Calibri"/>
        </w:rPr>
        <w:t xml:space="preserve">Māori values and beliefs are understood and respected.  Care planning accommodates individual choices of residents and/or their family/whānau.  Informed consent processes are adhered to.  Residents are encouraged to maintain links with their community.  </w:t>
      </w:r>
    </w:p>
    <w:p w:rsidRPr="00A4268A">
      <w:pPr>
        <w:spacing w:before="240" w:line="276" w:lineRule="auto"/>
        <w:rPr>
          <w:rFonts w:eastAsia="Calibri"/>
        </w:rPr>
      </w:pPr>
      <w:r w:rsidRPr="00A4268A">
        <w:rPr>
          <w:rFonts w:eastAsia="Calibri"/>
        </w:rPr>
        <w:t xml:space="preserve">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and risk management processes are established.  Quality goals are documented for the service.  A risk management programme is in place, which includes a risk management plan, incident and accident reporting, and health and safety processes.  </w:t>
      </w:r>
    </w:p>
    <w:p w:rsidRPr="00A4268A">
      <w:pPr>
        <w:spacing w:before="240" w:line="276" w:lineRule="auto"/>
        <w:rPr>
          <w:rFonts w:eastAsia="Calibri"/>
        </w:rPr>
      </w:pPr>
      <w:r w:rsidRPr="00A4268A">
        <w:rPr>
          <w:rFonts w:eastAsia="Calibri"/>
        </w:rPr>
        <w:t xml:space="preserve">Adverse, unplanned and untoward events are documented by staff.  The health and safety programme meets current legislative requirements.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regular staff education and training are in place.  The manager is a registered nurse (RN) and is on-site four days a week.  She is on call when not on-site and has a back-up RN that is rostered in her absence.  </w:t>
      </w:r>
    </w:p>
    <w:p w:rsidRPr="00A4268A">
      <w:pPr>
        <w:spacing w:before="240" w:line="276" w:lineRule="auto"/>
        <w:rPr>
          <w:rFonts w:eastAsia="Calibri"/>
        </w:rPr>
      </w:pPr>
      <w:r w:rsidRPr="00A4268A">
        <w:rPr>
          <w:rFonts w:eastAsia="Calibri"/>
        </w:rPr>
        <w:t xml:space="preserve">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manager is a registered nurse (RN) and is responsible for each stage of service provision.  She assesses and reviews residents' needs, outcomes and goals with the resident and/or family input.  Care plans viewed demonstrate service integration and are reviewed at least six-monthly.  Resident files include medical notes by the contracted general practitioners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manager/RN and caregivers are responsible for the administration of medicines and complete education and medication competencies.  Medication charts are reviewed three-monthly by the GP. </w:t>
      </w:r>
    </w:p>
    <w:p w:rsidRPr="00A4268A" w:rsidP="00621629">
      <w:pPr>
        <w:spacing w:before="240" w:line="276" w:lineRule="auto"/>
        <w:rPr>
          <w:rFonts w:eastAsia="Calibri"/>
        </w:rPr>
      </w:pPr>
      <w:r w:rsidRPr="00A4268A">
        <w:rPr>
          <w:rFonts w:eastAsia="Calibri"/>
        </w:rPr>
        <w:t xml:space="preserve">The activities coordinator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are cooked on-site.  Residents' food preferences, dislikes and dietary requirements are identified at admission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For those residents who don’t have their own showers/toilets there are sufficient communal showers/toilets.  External areas are safe and well maintained with shade and seating available.  Fixtures, fittings and flooring are appropriate and toilet/shower facilities are constructed for ease of cleaning.  Cleaning and laundry services are monitored through the internal auditing system.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No restraint or enabler was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service and provides information and resources to inform the service providers.  Documentation evidences that relevant infection control education is provided to all staff as part of their orientation and as part of the ongoing in-service education programme.  </w:t>
      </w:r>
    </w:p>
    <w:p w:rsidRPr="00A4268A">
      <w:pPr>
        <w:spacing w:before="240" w:line="276" w:lineRule="auto"/>
        <w:rPr>
          <w:rFonts w:eastAsia="Calibri"/>
        </w:rPr>
      </w:pPr>
      <w:r w:rsidRPr="00A4268A">
        <w:rPr>
          <w:rFonts w:eastAsia="Calibri"/>
        </w:rPr>
        <w:t xml:space="preserve">The type of surveillance undertaken is appropriate to the size and complexity of the service.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74"/>
        <w:gridCol w:w="1280"/>
        <w:gridCol w:w="84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is available in the information presented to residents and their families during entry to the service.  Policy relating to the Code is implemented.  The manager/owner/registered nurse (RN) and care staff interviewed (two caregivers, one diversional therapist (DT) could describe how the Code is incorporated into their everyday delivery of care.  Staff receive training about the Code during their induction to the service, which continues through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resuscitation consent forms were evident on all resident files reviewed (five rest home including one long-term support - chronic health conditions agreement, and one Taikura Trust).  General consent forms were evident on files reviewed.  Discussions with staff confirmed that they are familiar with the requirements to obtain informed consent for entering rooms and personal care.  Enduring power of attorney evidence is filed in the residents’ charts.  One resident has an advance directive.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Commissioner (HDC) advocacy details are included in the information provided to new residents and their family/whānau during their entry to the service.  Residents and family interviewed were aware of the role of advocacy services and their right to access support.  The complaints process is linked to advocacy services.  Staff receive regular education and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links are established with the local churches, local RSA, and Age Concern.  Residents who are able regularly visit the local cafés and shops.  Three residents regularly go out in their motorised scooters.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Access to complaints forms are located at the entrance to the facility.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complaints received is maintained by the manager.  Only one complaint has been lodged since the last audit (August 2016).  This complaint involved input and monitoring by the DHB with evidence sighted of corrective actions being implemented.  The complaint has been signed off by the DHB.  Documentation evidenced that the complaint was managed in accordance with HDC guidelines.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that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manager/RN discusses aspects of the Code with residents and their family on admission.  Discussions relating to the Code are also held during the two-monthly residents’ meetings.  All five residents and three family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decorate their rooms.  The caregivers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Residents and families interviewed and observations during the audit confirmed that the residents’ privacy is respected.  Shared toilets include appropriate door locking mechanisms.</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education and training on abuse and neglect, which begins during their induction to the service.  This training is provided annually by Age Concern.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Māori health policy is documented for the service.  Rooms are blessed following the death of a resident.  The care staff interviewed reported that they value and encourage active participation and input from the family/whānau in the day-to-day care of the residents.  There were no residents living at the facility who identified as Māori.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awareness begins during the new employee’s induction to the service and continues as a regular education topic.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family/whānau and/or their representative.  The staff demonstrated through interviews and observations that they are committed to ensuring each resident remains a person, even in a state of decline.  Beliefs and values are discussed and incorporated into the residents’ care plans, evidenced in all five care plans reviewed.  Residents and family/whānau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described in job descriptions.  Interviews with the care staff confirmed their understanding of professional boundaries including the boundaries of the caregivers’ role and responsibilities.  Professional boundaries are reconfirmed through education and training,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 registered nurse, is on-site four days a week.  If not on-site, she is on call.  A second RN is available to cover any absences.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regularly.  Residents and family/whānau interviewed reported that they are very satisfied with the services received.  A resident/family satisfaction survey completed in 2017 confirmed that residents are either satisfied or very satisfied with the services that they receive.</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Physiotherapy services are provided as needed.  A van is available for regular outings.  A podiatrist visits the facility every six weeks.</w:t>
            </w:r>
          </w:p>
          <w:p w:rsidR="00EB7645" w:rsidRPr="00BE00C7" w:rsidP="00BE00C7">
            <w:pPr>
              <w:pStyle w:val="OutcomeDescription"/>
              <w:spacing w:before="120" w:after="120"/>
              <w:rPr>
                <w:rFonts w:cs="Arial"/>
                <w:b w:val="0"/>
                <w:lang w:eastAsia="en-NZ"/>
              </w:rPr>
            </w:pPr>
            <w:r w:rsidRPr="00BE00C7">
              <w:rPr>
                <w:rFonts w:cs="Arial"/>
                <w:b w:val="0"/>
                <w:lang w:eastAsia="en-NZ"/>
              </w:rPr>
              <w:t>The environment allows for close relationships between the staff and residents.  A diversional therapist (DT) is on-site five days a week.  Caregivers assist with activities in the DTs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care staff interviewed understood about open disclosure and providing appropriate information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Ten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Families and staff are utilised in the first instance.  There were no residents at the facility who were unable to speak or understand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Bucklands Beach Rest Home can provide rest home level care for up to 20 residents.  On the day of the audit there were 19 residents.  This included two residents on long-term chronic conditions contracts and two residents on contracts through Taikura Trust.  All residents’ rooms were occupied with one double room being used as a single.</w:t>
            </w:r>
          </w:p>
          <w:p w:rsidR="00EB7645" w:rsidRPr="00BE00C7" w:rsidP="00BE00C7">
            <w:pPr>
              <w:pStyle w:val="OutcomeDescription"/>
              <w:spacing w:before="120" w:after="120"/>
              <w:rPr>
                <w:rFonts w:cs="Arial"/>
                <w:b w:val="0"/>
                <w:lang w:eastAsia="en-NZ"/>
              </w:rPr>
            </w:pPr>
            <w:r w:rsidRPr="00BE00C7">
              <w:rPr>
                <w:rFonts w:cs="Arial"/>
                <w:b w:val="0"/>
                <w:lang w:eastAsia="en-NZ"/>
              </w:rPr>
              <w:t>A philosophy, mission, vision and values is in place.  The strategic plan (2017) is regularly reviewed by the manager who is also the owner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is the RN.  She has been operating this facility for 19 years.  The manager has maintained a minimum of eight hours of professional development relating to the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casual RN is available to cover for the manager/RN if the manager is away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understood and being implemented as confirmed during interviews with the manager and five staff (two caregivers, one DT, one cook and one cleaner).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align with current good practice and meet legislative requirements.  A new set of policies have recently been purchased from an external consultant.  Policies have been reviewed, modified (where appropriate) and implemented.  They are scheduled for (two-yearly) reviews as per the document review schedule.  These new policies have been discussed with staff and are a regular agenda item in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collection and complaints management.  Data is collected for a range of adverse event data (e.g., skin tears, falls, and infections) and is collated and analysed.  An internal audit programme is being implemented.  Quality data and outcomes are discussed with staff in the monthly staff meetings.  Where improvements are identified, corrective actions are documented, implemented and signed off by the manager.</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Health and safety policies reflect current legislative requirements.  Interviews were conducted with the health and safety officer who is a senior caregiver.  Staff health and safety training begins during their induction to the service.  All staff have watched a health and safety DVD and have completed a competency questionnaire.  Health and safety is a regular topic covered in the staff meetings.  Actual and potential risks are documented on a hazard register, which identifies risk ratings and documents actions to eliminate or minimise the risk.  Contractors are formally inducted into the facility’s health and safety programme.</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the development of specific falls management plans to meet the needs of each resident who is at risk of falling.  This includes (but is not limited to) physiotherapy input, decluttering residents’ rooms, and intentional rounding.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and any follow-up action(s) required.  Incident/accident data is linked to the service’s quality and risk management programme.  Ten accident/incident forms were reviewed.  Each event involving a resident reflected a clinical assessment and follow-up by the manager/RN.  Neurologic observations are conducted for suspected head injuries.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aware of statutory responsibilities in regard to essential notification with examples provided.  There have been no reportable events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Five staff files reviewed (four caregivers, one cook) included evidence of the recruitment process including reference checking, signed employment contracts and job descriptions, and completed orientation programmes.  The orientation programme provides new staff with relevant information for safe work practice.  Staff interviewed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programme is provided for staff that meets contractual obligations.  Competencies are completed specific to worker type (e.g., medication, insulin, restraint minimisation, fire evacuation, infection control, diabetes, wound care and observations, incontinence).  Delirium training was also provided November 2016. A register of current practising certificates for health professionals is maintained.  The manager/RN has completed her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aligns with contractual requirements.  The manager/RN is on-site four days a week and is on call when not available on-site 24/7.  A casual RN covers when she is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caregivers available with one caregiver rostered during the night shift and two caregivers (one long shift and one short shift) rostered on the am and pm shifts.  A DT is available five days a week (9am – 1pm).  Staffing is flexible to meet the acuity and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A separate cleaner is employed four days a week.  Caregivers are responsible for laundry duties.  They also assist with breakfast and supper, with direction provided by the cook.</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legible,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The admission agreements reviewed meet the requirements of the Age-related residential care services agreement (ARCC).  Exclusions from the service are included in the admission agreement.  All five admission agreements viewed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was one resident self-administering on the day of audit without a competency documented.  There are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robotic pack system.  Medications are checked on arrival and any pharmacy errors recorded and fed back to the supplying pharmacy.  The registered nurse and caregivers administer medications.  All have medication competencies.  There is no medication fridge.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a medication signing sheet.  Ten medication charts were reviewed (including one long-term support - chronic health conditions and one Taikura Trust).  Medications are reviewed at least three monthly by the G.P.  There was photo identification and allergy status recorded.  As required medications had indications for use charted.  </w:t>
            </w:r>
          </w:p>
          <w:p w:rsidR="00EB7645" w:rsidRPr="00BE00C7" w:rsidP="00BE00C7">
            <w:pPr>
              <w:pStyle w:val="OutcomeDescription"/>
              <w:spacing w:before="120" w:after="120"/>
              <w:rPr>
                <w:rFonts w:cs="Arial"/>
                <w:b w:val="0"/>
                <w:lang w:eastAsia="en-NZ"/>
              </w:rPr>
            </w:pPr>
            <w:r w:rsidRPr="00BE00C7">
              <w:rPr>
                <w:rFonts w:cs="Arial"/>
                <w:b w:val="0"/>
                <w:lang w:eastAsia="en-NZ"/>
              </w:rPr>
              <w:t>There are no vaccines stored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cooked on-site.  The service has one cook who covers Monday to Friday and one cook who covers Saturday and Sunday.  The new week day cook is booked to complete a food safety course on Friday 15 September 2017.  The head cook oversees the procurement of the food and management of the kitchen.  There is a well-equipped kitchen.  Meals are served directly from the kitchen to the dining rooms via a hatch.  Special equipment such as lipped plates are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on a kitchen whiteboard.  The four-weekly menu cycle is approved by a dietitian.  All resident/families interviewed were very satisfied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prospective residents should this occur and communicates this to prospective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Files sampled contained appropriate assessment tools that were complete and reviewed at least six-monthly or when there was a change to a resident’s health condition.  The interRAI assessment tool is implemented.  InterRAI assessments had been completed for residents whose files were sampled.  Care plans sampled were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resident-centred.  Interventions documented support needs and provide detail to guide care.  Short-term care plans are in use for changes in health status.  Residents and relatives interviewed stated that they are involved in the care planning process.  There was evidence of service integration with documented input from a range of specialist care professionals including the physiotherapist, podiatrist,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 that they notify family members about any changes in their relative’s health status.  All care plans sampled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occurs as planned.  There are currently two wounds and one pressure injury being treated.  One wound has had input from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has a permanent supra-pubic catheter in situ.  There is a protocol for care of the supra-pubic catheter in place and assistance from the specialist nurse at Counties Manukau DHB is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coordinator who works four hours daily, five days a week.  On the day of audit residents were observed participating in exercises, playing noodle soccer and listening to music.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The daily programme is written up on a whiteboard in the dining room.  Residents have the choice of a variety of activities in which to participate and every effort is made to ensure activities are meaningful and tailored to residents’ needs.  These include exercises, brain teasers, news from the NZ Herald, music, walks outside and games.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Church services are held three-weekly and Catholics have communion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van outings and entertainers visit the facility and there is community input from local kindergartens and schools.  Special events like birthdays, Easter, Mothers’ Day, Anzac Day and the Melbourne Cup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There is a men’s group which has outings six-weekly including lunches at the RSA and the movies.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individual activity plan is based on this assessment.  Activity plans are evaluated at least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long-term care plans reviewed had been evaluated by the manager/RN six-monthly or when changes to care occurs.  Short-term care plans for short-term needs are evaluated and signed off as resolved or added to the long-term care plan as an ongoing problem.  Activities plans are in place for each of the residents and these are also evaluated six-monthly.  The multidisciplinary review involves the RN, GP and resident/family if they wish to attend.  There is at least a three-monthly review by the GP.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eye and pacemaker clinics and mental health services for older people.  Discussion with the manager/RN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Management of waste and hazardous substances is covered during orientation and there are laminated notices on the laundry walls outlining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substances and staff indicated a clear understanding of processes and protocols.  Gloves, aprons, and face shields are available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8 June 2018.  There is no maintenance person on-site but the manager phones contractors when maintenance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scales are checked annually.  Hot water temperatures have been monitored randomly in resident areas and were within the acceptable range.  There had been a problem with water temperatures in June and the plumbers visit and remedial action had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communal lounges and hallways are carpeted as are residents’ bedrooms.  The utility areas such as the kitchen, laundry/sluice rooms have vinyl flooring.  Toilets and showers have non-slip vinyl flooring.  All halls have safety rails and promote safe mobility with the use of mobility aids.  Staff interviewed stated that there is equipment available to meet all resident needs including wheelchairs and walking 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Residents were observed moving freely around the areas with mobility aids where required.  The external areas and gardens were well maintained.  All outdoor areas have some seating and shade.  There is safe access to all communal areas.  Mobility scooters are parked under cover in an outside porch.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their own hand-basin.  Three bedrooms have their own toilet, six bedrooms share a toilet and the remainder of the residents use communal toilets.  Three rooms have their own shower and the remainder of the residents use communal showers.  Fixtures, fittings and flooring are appropriate.  Toilet/shower facilities are easy to clean.  There is ample space in all communal toilet and shower areas to accommodate shower chairs if appropriate.  There are privacy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occupied by one resident including one double room.  They vary in size but all are adequate.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large communal lounge which is divided in two by settees.  There is a view of the beach from the front lounge.  Residents who prefer quieter activities or visitors may sit there.  Activities occur in the communal areas.  There is one dining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done on-site by caregivers.  The laundry is divided into a “dirty” and “clean” area.  There is a laundry and cleaning manual.  Cleaning and laundry services are monitored through the internal auditing programme.  The cleaner’s equipment was attended at all times or locked away in the laundry as sighted on the day of the audit.  There is a sluice in the laundry for the disposal of soiled water or waste.  There is no sanitiser.  Equipment is cleaned and disinfected as required.  The laundry is kept closed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with the last fire drill taking place on 6 September 2017.  The orientation programme and annual education and training programme include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cooker is available.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Call bells are checked regularly by maintenance.  One bathroom/shower requires a call bell and one call bell extension cord requires an extension.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staff member available 24 hours a day, seven days a week with a current first aid/CPR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natural light and ventilation.  All heating is electrical.  Staff and residents interviewed stated that this is effective.  There is an outdoor area where residents smoke, systems and process are in place to manage this.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Bucklands Beach Rest Home has a well-documented infection control programme.  The infection control programme, its content and detail, is appropriate for the size, complexity and degree of risk associated with the service.  The manager/RN is the designated infection control coordinator with support from all staff as members of the infection control team.  Infection control is discussed at the staff meetings.  Minutes are available for staff.  Infection control audits have been conducted and include hand hygiene and infection control practices.  Education is provided for all new staff on orientation.  The infection control programme has recently been reviewed and an audit tool has been developed to review the programme annually – due March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manager/RN is the designated infection control (IC) coordinator with support from all the staff.  There are adequate resources to implement the infection control programme for the size and complexity of the organisation.  The IC coordinator receives external support from New Zealand Infection Control.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IC coordinator has completed education in infection control.  Visitors are advised of any outbreaks of infection and are advised not to attend until the outbreak has been resolved.  Information is provided to residents and visitors that is appropriate to their needs and this is documented in clinical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  Systems are in place that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 minimisation.  No residents were using restraints or enablers.  The manager/RN is the designated restraint coordinator.  She is knowledgeable regarding this role.</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restraint minimisation.  The caregivers interviewed were able to describe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11"/>
        <w:gridCol w:w="1280"/>
        <w:gridCol w:w="5304"/>
        <w:gridCol w:w="1968"/>
        <w:gridCol w:w="20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checks the medications in from pharmacy and signs for them.  The GPs prescribing is correct.  Medication competent staff administer the medications safely.  The GP reviews medications three monthly.  Storage of medications is safe apart from those requiring to be kept in the fridge and those being self-medicated.  All medications that are no longer being used or those expired are returned to pharmacy.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self-medicating resident’s insulin syringe is not kept secure.</w:t>
            </w:r>
          </w:p>
          <w:p w:rsidR="00EB7645" w:rsidRPr="00BE00C7" w:rsidP="00BE00C7">
            <w:pPr>
              <w:pStyle w:val="OutcomeDescription"/>
              <w:spacing w:before="120" w:after="120"/>
              <w:rPr>
                <w:rFonts w:cs="Arial"/>
                <w:b w:val="0"/>
                <w:lang w:eastAsia="en-NZ"/>
              </w:rPr>
            </w:pPr>
            <w:r w:rsidRPr="00BE00C7">
              <w:rPr>
                <w:rFonts w:cs="Arial"/>
                <w:b w:val="0"/>
                <w:lang w:eastAsia="en-NZ"/>
              </w:rPr>
              <w:t>ii) There is no medication fridge and insulin ampoules are kept in the specimen fridge.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Keep all self-medicating resident’s medications in a locked container.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there is a safe process for the storage of medications and specimens that require refrigeration.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safe self-medication.  There are forms available for assessment of competency and consent where appropriate.  One resident did not have documented evidence of his competency assessed to self-medicate.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self-medicating resident has not been assessed as competent to self-medicate.  The same resident has not signed a consent form for self-medication.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who wish to self-medicate are assessed as competent to do so.  Ensure residents who wish to self-medicate sign a consent form for self-medication.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bathroom/shower area is missing a call bell alarm.  One resident was unable to reach his call bell while sitting up in a chair.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room with a full ensuite is missing a call bell in the bathroom.  One resident, sitting in a lounge chair in his room, is unable to reach his call bell.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 call bell system is installed in one resident’s bathroom/shower.  A call bell extension cord is required for another residents’ room.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Bucklands Beach Rest Home Limited - Bucklands Beach Rest Home</w:t>
    </w:r>
    <w:bookmarkEnd w:id="58"/>
    <w:r>
      <w:rPr>
        <w:rFonts w:cs="Arial"/>
        <w:sz w:val="16"/>
        <w:szCs w:val="20"/>
      </w:rPr>
      <w:tab/>
      <w:t xml:space="preserve">Date of Audit: </w:t>
    </w:r>
    <w:bookmarkStart w:id="59" w:name="AuditStartDate1"/>
    <w:r>
      <w:rPr>
        <w:rFonts w:cs="Arial"/>
        <w:sz w:val="16"/>
        <w:szCs w:val="20"/>
      </w:rPr>
      <w:t>13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