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August 2017</w:t>
      </w:r>
      <w:bookmarkEnd w:id="7"/>
      <w:r w:rsidRPr="009418D4">
        <w:rPr>
          <w:rFonts w:cs="Arial"/>
        </w:rPr>
        <w:tab/>
        <w:t xml:space="preserve">End date: </w:t>
      </w:r>
      <w:bookmarkStart w:id="8" w:name="AuditEndDate"/>
      <w:r w:rsidR="00A4268A">
        <w:rPr>
          <w:rFonts w:cs="Arial"/>
        </w:rPr>
        <w:t>29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Springvale Manor Rest Home is privately owned and governed by three directors.  Springvale Manor provides rest home and dementia level of care for up to 28 residents.  On the day of audit there were 14 residents.  The service is managed by an owner/manager who is supported by a part-time and full-time registered nurse.  The residents and relatives interviewed spoke positively about the standard of care and support provided at Springvale Manor.</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the general practitioner.</w:t>
      </w:r>
    </w:p>
    <w:p w:rsidRPr="00A4268A">
      <w:pPr>
        <w:spacing w:before="240" w:line="276" w:lineRule="auto"/>
        <w:rPr>
          <w:rFonts w:eastAsia="Calibri"/>
        </w:rPr>
      </w:pPr>
      <w:r w:rsidRPr="00A4268A">
        <w:rPr>
          <w:rFonts w:eastAsia="Calibri"/>
        </w:rPr>
        <w:t xml:space="preserve">This certification audit identified areas for improvement around relative notifications, meeting minutes and registered nurse orientation.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staff at Springvale Manor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2017 business plan has goals documented.  There are policies and procedures to provide appropriate support and care to residents with rest home and dementia level needs.  This includes a documented quality and risk management programme that includes analysis of data.  Incidents are appropriately managed.  Ongoing training is provided and there is a training plan for 2017.  Rosters and interviews indicated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Assessments, resident care plans, interventions and evaluations are completed by a registered nurse within the required timeframes.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A diversional therapist coordinates and implements a separate rest home and dementia unit activity programme that meets the abilities of all residents. The activities meet the individual recreational needs and preferences of the resident groups.  There are integrated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All meals and baking is prepared and cooked on-site by qualified cooks.  Resident's individual dietary needs were identified and accommodated.  Staff have attended food safety and hygiene training.  Additional snacks are available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buildings hold a current warrant of fitness.  Residents can freely mobilise within the communal areas with safe access to the outdoors, seating and shade. There is a safe outdoor area and walking pathway within the secure unit.  Resident bedrooms are personalised.  Rest home rooms have an ensuite.  There is access to an adequate number of communal toilet/shower facilities.  Documented policies and procedures for the cleaning and laundry services are implemented with appropriate monitoring systems in place to evaluate the effectiveness of these services.  Appropriate training, information and equipment for responding to emergencies are provided.  There is an approved evacuation scheme.  There is at least one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At the time of the audit there were two residents with a restraint and no residents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coordinator/registered nurse is responsible for coordinating and providing education and training for all staff.  The infection control manual outlines the scope of the programme and included a comprehensive range of policies and guidelines.  There are infection control audits of the facility, hand hygiene competencies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10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five staff (two healthcare assistants (HCA), two registered nurses (RN) and one diversional therapist) confirmed their familiarity with the Code.  Three rest home residents and four family members (two rest home and two dementia level care)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were obtained on admission and sighted in six of six resident files reviewed (four dementia care including one younger person and two rest home residents including one resident under an intermediate care contract).  Advance directives where appropriate, were completed and on the resident files.  Resuscitation plans were sighted in all files and were signed appropriately.  The EPOA of three dementia care residents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two healthcare assistants (HCAs) and two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Four family (two rest home and two dementia care relatives)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Long-term resident’s files sampled had a signed admission agreement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resident information folder and in advocacy pamphlets that are available around the facility.  Discussions with residents and relatives identified that the service provides opportunities for the family/EPOA to be involved in decisions.  The service has links to the local Alzheimer’s Society, which provides support for those who have dementia or have a loved one with a diagnosis of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admission.  Complaint forms are available at the entrance of the service.  Staff are aware of the complaints process and to whom they should direct complaints.  The service had two complaints made in 2016 and no complaints received in 2017 year-to-date.  Appropriate actions have been taken in the management and processing of the complaints.  One of the complaints was made through the Health &amp; Disability Commissioner (HDC) which was investigated and any corrective actions required were fully followed-up.  A letter from HDC in 2017 confirmed that there would be no further action taken with the complaint.  Residents and 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including in formats suitable for people with intellectual disabilities.  Information is given to the family or the enduring power of attorney (EPOA) to read to and/or discuss with the resident.  Residents interviewed identified they are informed about the Code.  Surveys and direct communication with management provide the opportunity to raise concerns.  Advocacy and the Code information is included in the information pack and are available at the service.  The information pack also includes information about the dementia care unit, the need for a secure environment and behaviours that may be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are signed by staff at commencement of employment.  Residents are supported to attend church services held within the facility or attend church services in the community if they wish.  Residents interviewed reported that they can choose to engage in activities and access community resources and that their privacy is maintained.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and an individual’s values and beliefs policy, which includes cultural safety and awareness.  There were no residents that identified as Māori at the time of audit.  Discussions with staff confirmed their understanding of the diverse cultural needs of residents and their whānau.  Staff had training around cultural awareness in April 2017.  The service has access to a cultural advisor from the local iwi health authority.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and activities goal setting includes consideration of spiritual, psychological and social needs.  Residents interviewed indicated that they are asked to identify any spiritual, religious and/or cultural beliefs.  Care plans sampled documented resident’s individual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dignity, privacy and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or dementia level care.  The quality programme has been designed to monitor contractual and standards compliance and the quality of service delivery in the facility.  Staffing policies include pre-employment and the requirement to attend orientation and ongoing in-service training.  Combined quality/staff meetings are conducted monthly.  Residents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and procedures to ensure that staff adequately communicate with residents and families.  Incidents and accidents were reported and follow-up was completed by the RN. Family members interviewed confirmed that they are notified of any incidents however eight of the fifteen forms and corresponding resident files did not support that family had been notified of the resident’s incident.  However, fifteen incident forms reviewed showed that family notification is not always completed or a reason for this is not recorded.  A quarterly newsletter is provided to residents and relatives.  Residents interviewed stated that the owner/manager is on-site daily and visit residents to ask about their wellbeing.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Limited is the proprietor of Springvale Manor.  Three directors, including the wife and husband owner/operators are the governing body for Springvale Manor Limited.  Springvale Manor provides rest home and dementia level care for up to 28 residents (eight rest home and 20 dementia beds).  On the day of audit, there were 14 residents in total (four rest home residents including one resident under intermediate care contract and ten residents in the secure dementia unit including one resident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could describe the company’s financial and business goals.  The company vision statement is visible on the wall at the front entrance and in the information brochures that are readily available.  There is a 2017 business plan that outlines objectives for the period; a particular focus being increasing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(non-clinical) works full-time and has been in the position for eight and a half years.  She is supported by a RN who works 32 hours per week and one other part-time RN who works eight hours per week or more as required.  The owner/manager and RNs are also supported by a team of experienced care staff.  A restructure of roles has meant there is no longer a clinical leader – instead there are 2 RNs.  The manager employed an experienced RN in May 2017 to complete interRAI assessments, thus supporting the other RN to meet her responsibilities.    The manager provides both RNs with support such as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owner/manager, the RN provides oversight. The RN works 32 hours per week and provides on-call.  The RN is supported by another RN and a team of experienced HCAs.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by an external consultant and the manuals are updated when policies have been reviewed.  Springvale Manor continues to implement an internal audit programme that includes clinical and non-clinical aspects of the services.  The owner/manager facilitates the quality programme and ensures the internal audit schedules are followed.  Corrective action plans are developed and signed off when service shortfalls are identified.  Review of documents and staff interviews confirmed this.  Discussions with the RNs, diversional therapist and HCAs confirmed their involvement in the quality programme.  Quality data related to incident and accidents, infection control, hazard management, environmental safety, restraint minimisation, complaints and training and audit outcomes are collected.  The staff meeting template includes headings relating to these items, however meeting minutes do not reflect that these have been routinely discussed and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relatives survey was completed in July 2017 and shows satisfaction with services provided.  Springvale Manor has a health and safety management system.  There are risk management, health and safety policies and procedures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which include the identification of interventions on a case-by-case basis to minimise future falls and staff received training to support falls prevention in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Fifteen incidents reviewed from June and July 2017 demonstrated clinical follow-up, however, not all family had been notified of the resident’s incident (link 1.1.9.1).  Neurological observations forms completed for resident falls with a head injury evidenced the required monitoring timeframes.  The management team were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sampled (two RNs, two HCAs and one cook) showed appropriate employment practices and documentation.  All staff files reviewed for staff who have been employed for more than 12 months contained a current annual performance appraisal.  The recruitment and staff selection process requires that relevant checks are completed to validate the individual’s qualifications, experience and suitability for the role.  Current annual practising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rest home and dementia level care needs, however, the two RNs have not completed the RN orientation since starting in November 2016.  An annual training plan has been completed for 2016 and is in place for 2017.  Training has been provided covering all the relevant mandatory training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HCAs that work in the dementia care unit; all 11 have completed the required dementia standards.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care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owner/manager is on-site 32 hours per week.  The owner/manager is on-call after hours for any non-clinical issues and the RN on-call for any clinical issues.  Interviews with HCAs,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on-site on the morning shift from Tuesday to Saturday.  There are two HCAs on the morning and afternoon shift and two on the night shift.  There is an additional HCA (tea aid) on duty from 7.00pm to 9.00pm to assist with the evening meal and cover for staff meal breaks.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four rest home residents are independent with most cares.  Staff from the dementia unit check on them regularly as reported by staff and residents interviewed and call bells activate throughout the facility and can be heard by the staff in the dementia unit.  These residents are invited into the dementia unit at times during the day to join activities and similar.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including information on the dementia care service is provided for families and residents prior to or on admission.  Prior to entry, all potential residents have a needs assessment, completed by the needs assessment and coordination service to assess suitability for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registered nurse and HCAs that administer medications have been assessed for competency on an annual basis.  The full-time RN has completed syringe driver training.  Education around safe medication administration has been provided.  Medications are checked on delivery by the RN. There were no standing orders in place. There was one rest home resident self-medicating on the day of audit who had self-medication competency in place.  All medications are stored safely.</w:t>
            </w:r>
          </w:p>
          <w:p w:rsidR="00EB7645" w:rsidRPr="00BE00C7" w:rsidP="00BE00C7">
            <w:pPr>
              <w:pStyle w:val="OutcomeDescription"/>
              <w:spacing w:before="120" w:after="120"/>
              <w:rPr>
                <w:rFonts w:cs="Arial"/>
                <w:b w:val="0"/>
                <w:lang w:eastAsia="en-NZ"/>
              </w:rPr>
            </w:pPr>
            <w:r w:rsidRPr="00BE00C7">
              <w:rPr>
                <w:rFonts w:cs="Arial"/>
                <w:b w:val="0"/>
                <w:lang w:eastAsia="en-NZ"/>
              </w:rPr>
              <w:t>All 12 medication charts reviewed (four rest home and eight dementia care) on the electronic medication system met legislative prescribing requirements.  The GP has reviewed the medication charts three-monthly.  Medication administration records sighted on the electronic medication system corresponded with the medication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The qualified cook on duty is supported by a weekend cook and tea aide.  Food services staff have completed food safety hygiene training.  There is a four-weekly menu that has been reviewed by a dietitian.  The kitchen is located within the dementia unit adjacent to the dining room.  Meals are served to rest home residents in a separate dining room within the rest home. The cook receives resident dietary instructions that includes resident dislikes and special requirements.  Dislikes are accommodated. The cook is notified of any changes to residents’ dietary needs or residents with any weight loss.  Modified diets and diabetic desserts are provided.  There is specialised crockery and utensils as assessed.  Nutritious snacks are available at all times from the kitchen and include sandwiches, biscuits, puddings, yoghurts and fruit.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fridges and freezer temperatures are monitored twice daily and recorded.  End cooked food temperatures on all meals are monitored and recorded daily.  All goods in the pantry were date labelled.  All perishable foods in fridges were date labelled.  Staff were observed wearing personal protective clothing.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and relatives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Springvale Manor records the reason for declining service entry to potential residents should this occur and communicates this to potential residents/family/whānau and refers the resident/family/whānau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summary were in place for all long-term resident files sampled. The long-term care plans in place reflected the outcome of the assessments.  Behaviour assessment tools had been completed in the files of dementia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All identified support needs as assessed were included in the care plans for all long-term resident files reviewed.  A short-term care plan was in place for the interim care resident which addressed all identified needs.  The three files of residents in the dementia care unit contained a comprehensive behaviour management plan including triggers, de-escalation techniques and activities. Care plans evidenced resident (as appropriate) and family/whānau involvement in the care plan process.  Relatives interviewed confirmed they were involved in the care planning process.  Resident files demonstrate service integration and evidence of allied healthcare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short-term needs.  Short-term care plans had been reviewed regularly and either resolved or transferred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was evidence that family members were notified of any changes to their relative’s health including (but not limited to) accident/incidents, infections, health professional visits and changes in medications.  Discussions with families and notifications are documented on the relative record page.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two skin tears and one chronic ulcer.  There were no pressure injuries on the day of audit.  There was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observations, blood glucose, pain, challenging behaviour, wounds and continence. Registered nurses review the monitoring charts and report identified concerns to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and registered diversional therapist (DT) for 36 hours Monday to Friday.  The DT is involved in the education of the regional DT support group.  She has a current first aid certificate and is completing the master class of “walking in another’s shoes”.  Healthcare assistants are involved in providing activities a part of their role.  The DT provides a programme that is flexible to meet the needs of the dementia care residents and the rest home residents.  Consent is gained from rest home residents and their families to join some activities in the dementia unit such as entertainment, church services, board games, guest speakers and outings.  There is a large double lounge that can be closed off from the dementia unit (if required) to provide an entertainment area.  Daily contact is made with rest home residents and their recreational preferences for the day identified and met.  One-on-one time with residents includes foot care, nail care, walks, arts and crafts.  A sensory room in the dementia unit provides a low stimulus environment with soothing music and low lighting, which reduces resident agitation and decreases episodes of challenging behaviours.  Small group activities include exercises, board games, ladies group and card groups.  The service hires a van and outings include community visits to local clubs and the RSA.    Families are invited to attend outings with their relative. One-on-one time is spent with the younger person on preferred activities such as arts and crafts/painting.  The younger person is supported to attend community activities including housie, bowls and special Olympics.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soon after admission.  Each resident had an individual activity plan which is reviewed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have been reviewed at least six-monthly or earlier for any health changes.  The written evaluation documents the resident’s progress against identified goals.  The GP reviews the residents at least three-monthly or earlier if required.  The relative/resident are invited to attend the multidisciplinary team review.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all residents were appropriately assessed as rest home level care and none were waiting for reassessment.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Chemicals sighted have correct manufacturer labels.  Chemicals are stored in locked areas (sluice room and laundry).  Personal protective clothing is available for staff and seen to be worn by staff when carrying out their duties on the day of audit.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Springvale Manor rest home building has a current building warrant of fitness that expires 22 June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two entrances, one at the rest home and one at the dementia care unit with secure access to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in both the rest home and the dementia care unit are sufficiently wide enough to allow residents to mobilise with the aid of walking frames and other mobility aids safely.  There has been ongoing refurbishment of resident rooms, painting of ceiling in the dementia unit and upgrading of the outdoor dementia garden and grounds. </w:t>
              <w:br/>
              <w:br/>
              <w:t xml:space="preserve">The owner/manager contracts a mobile maintenance person for repairs and planned maintenance as per the schedule.  The maintenance log book (sighted) evidenced repairs are carried out within a timely manner.  Electrical equipment has been tested and tagged.  Clinical equipment has been calibrated annually.  Planned maintenance includes hot water temperature monitoring monthly, carried out by the plumber.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have safe access to outdoor areas where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four exit and entry points to the safe and secure outdoor walking pathway and garden areas,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HCAs (interviewed) stated they have sufficient equipment to safely deliver the cares as outlined in the resident care plans.  A hoist is available if required post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double rest home rooms have a full ensuite.  There is a communal toilet off the rest home lounge with privacy locks.  There are sufficient numbers of communal toilets/showers in the dementia unit. Toilet and shower facilities are of an appropriate design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double rest home rooms.  All have single occupancy.  There is provision for privacy curtains.  All resident rooms in the dementia unit are single. There is adequate room to safely manoeuvre with mobility aids in the resident bedrooms.  Residents and families are encouraged to personalise their rooms as evident on audit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separate TV lounge and a separate dining room with doors that open out onto the outdoor courtyard and gardens.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double lounge which can be closed into two smaller lounges while maintaining safety for dementia care residents. There is a smaller quieter lounge at the other end of the unit. There is a separate dining room for dementia care residents adjacent to the kitchen.  The kitchen has safety gates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laundry is located within the dementia unit with keypad access and a locked external screen door.  There is a defined clean/dirty flow. There is a dedicated laundry person Monday to Friday.  All personal clothing and linen is laundered on-site.  All equipment has a service check and is tested and tagged.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cleaner’s room where the trolley is stored when not in use.  There is a dedicated cleaner Monday to Friday.  The HCAs complete basic laundry and cleaning duties in the weekend.  The contracted chemical supplier monitors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There is an approved evacuation plan.  Fire drills are held six-monthly with the last drill occurring on 20 April 2017. There are sufficient staff with current first aid certificates to cover every shift.  There is a civil defence kit that is checked six-monthly.    The kitchen has gas hobs and there is a BBQ for alternate cooking.  There is sufficient stored water and food supplies to last three days.  If required the facility would hire a generator.  There is an appropriate call bell system that works throughout the facility.  There are keypads on appropriate doors in the dementia unit.  In the rest home, external doors are kept locked after dusk.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good sized windows which allow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team. The RN is the infection control coordinator and has been in the role 10 months.  The infection control programme is linked into the quality management system and reviewed annually last in April 2017 by the infection control coordinator and owner/manager.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registered to attend an infection control conference in October. The service is affiliated with an external aged care consultant for any advice or updates for policies. The facility has access to an infection control nurse specialist at the DHB, wound care nurse, public health, laboratory and GPs.  The part-time RN is a member of the infection control nurses group and receives updates on infection control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and standard precautions.  Ongoing training occurs annually as part of the annual training programme last provided in June 2017.  Staff are required to complete infection control questionnaires.  Handwashing competencies were completed May 2017.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Infection control data and relevant information is reported to be discussed but not evidenced in meeting minutes (link 1.2.3).  Definitions of infections are in place appropriate to the complexity of service provided.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two residents with a restraint (one lap belt and one chair brief) and no residents using an enabler.  Both residents using restraint were dementia level care and the use of restraint was only ‘as required’ to keep residents’ safe from falls.  Strategies uses to minimise use of restraint included sensor mats, early recognition of infections (UTI/chest), confusion and delirium, GP visits, distraction with activities and staff supervision.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An RN is the restraint coordinator.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GP, resident and their family/whānau.  Restraint assessments are based on information in the care plan, resident/family discussions and observations.  Ongoing consultation with the resident and family/whānau were evident.  Two resident files where restraint was in use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trialled before implementing restraint.  The use of restraint is linked to the residents’ care plans.  Internal restraint audits measure staff compliance in following restraint procedures.  Monitoring is documented on a specific restraint monitoring form, evidenced in the two resident files where restraint was being used.  A restraint register is in place providing a record of restraint and enabler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monthly and restraint use is discussed at the monthly staff/quality meeting.  A review of the two resident files identified that evaluations are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Staff/quality meeting minutes include (but are not limited to) a review of the residents using restraints or enablers, updates (if any) to the restraint programme and staff education/training.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2"/>
        <w:gridCol w:w="1280"/>
        <w:gridCol w:w="5629"/>
        <w:gridCol w:w="2825"/>
        <w:gridCol w:w="16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and procedures to ensure that staff adequately communicate with residents and families.  Incidents and accidents were reported and follow-up was completed by the RN.  Fifteen incident forms reviewed showed that family notification is not always completed or a reason for this is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and accident forms were reviewed.  Eight of the fifteen forms and corresponding resident files did not document that family had been notified of the resident’s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family is notified of incidents and accidents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related to incident and accidents, infection control, hazard management, environmental safety, restraint minimisation, complaints and training and audit outcomes are collected.  The staff meeting template includes headings relating to these items, however meeting minutes do not reflect that these have been routinely discussed and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in meeting minutes that meetings included discussion around quality data trends analysis and what actions were required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meetings include discussion of quality data trends analysis and actions required, if any.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rest home and dementia level care needs, however, the two RNs have not completed the RN orientation since starting in November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RNs employed since November 2016 have not completed the required RN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two RNs complete the RN orientation.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28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