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Sunset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Sunset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August 2017</w:t>
      </w:r>
      <w:bookmarkEnd w:id="7"/>
      <w:r w:rsidRPr="009418D4">
        <w:rPr>
          <w:rFonts w:cs="Arial"/>
        </w:rPr>
        <w:tab/>
        <w:t xml:space="preserve">End date: </w:t>
      </w:r>
      <w:bookmarkStart w:id="8" w:name="AuditEndDate"/>
      <w:r w:rsidR="00A4268A">
        <w:rPr>
          <w:rFonts w:cs="Arial"/>
        </w:rPr>
        <w:t>30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Sunset Rest Home and Hospital is certified to provide rest home, hospital, dementia and residential disability levels of care for up to 124 residents.  Over the course of this audit, there were 123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 general practitioner and a nurse practitioner.</w:t>
      </w:r>
    </w:p>
    <w:p w:rsidRPr="00A4268A">
      <w:pPr>
        <w:spacing w:before="240" w:line="276" w:lineRule="auto"/>
        <w:rPr>
          <w:rFonts w:eastAsia="Calibri"/>
        </w:rPr>
      </w:pPr>
      <w:r w:rsidRPr="00A4268A">
        <w:rPr>
          <w:rFonts w:eastAsia="Calibri"/>
        </w:rPr>
        <w:t>The care home manager is appropriately qualified and experienced and is supported by a clinical manager (registered nurse).  There are quality systems and processes being implemented.  Feedback from residents and families was very positive about the care and the services provided.  An induction and in-service training programme is in place to provide staff with appropriate knowledge and skills to deliver care.</w:t>
      </w:r>
    </w:p>
    <w:p w:rsidRPr="00A4268A">
      <w:pPr>
        <w:spacing w:before="240" w:line="276" w:lineRule="auto"/>
        <w:rPr>
          <w:rFonts w:eastAsia="Calibri"/>
        </w:rPr>
      </w:pPr>
      <w:r w:rsidRPr="00A4268A">
        <w:rPr>
          <w:rFonts w:eastAsia="Calibri"/>
        </w:rPr>
        <w:t>There are four areas of continuous improvement awarded around good practice, quality indicator data results, food and nutrition,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service complies with the Health and Disability Commissioner’s Code of Health and Disability Consumers’ Rights.  Staff strive to ensure that care is provided that focuses on the individual resident, values residents' autonomy and maintains their privacy and choice.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care home manager is supported by a clinical manager, registered nurses, caregivers and support staff.  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Health and safety policies, systems and processes are implemented to manage risk.  Incidents and accidents are reported and investigated.  A comprehensive education and training programme is implemented with a current plan in place.  Appropriate employment processes are adhered to.  There is a roster that provides sufficient and appropriate staff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senior caregivers are responsible for the administration of medicines and complete education and medication competencies.  Medication charts are reviewed three-monthly by the GP.</w:t>
      </w:r>
    </w:p>
    <w:p w:rsidRPr="00A4268A" w:rsidP="00621629">
      <w:pPr>
        <w:spacing w:before="240" w:line="276" w:lineRule="auto"/>
        <w:rPr>
          <w:rFonts w:eastAsia="Calibri"/>
        </w:rPr>
      </w:pPr>
      <w:r w:rsidRPr="00A4268A">
        <w:rPr>
          <w:rFonts w:eastAsia="Calibri"/>
        </w:rPr>
        <w:t xml:space="preserve">A kitchen manager oversees food provision.  All meals and baking are prepared on-site.  The menu plans have been reviewed by a dietitian and are suitable for the elderly and/or disabled residents.  The menus are clearly documented and displayed daily.  The individual dietary needs are identified during the assessment process for each resident and choices are provided.  Meals are provided at appropriate times of the day.  </w:t>
      </w:r>
    </w:p>
    <w:p w:rsidRPr="00A4268A" w:rsidP="00621629">
      <w:pPr>
        <w:spacing w:before="240" w:line="276" w:lineRule="auto"/>
        <w:rPr>
          <w:rFonts w:eastAsia="Calibri"/>
        </w:rPr>
      </w:pPr>
      <w:r w:rsidRPr="00A4268A">
        <w:rPr>
          <w:rFonts w:eastAsia="Calibri"/>
        </w:rPr>
        <w:t>An activities programme is provided and enjoyed by the residents.  Participation is encouraged but is voluntary.  Activities are planned that are meaningful and the programme is developed and implemented to ensure the interests of residents are included.  Community outings are arranged and entertainers are invited to participate in the programme.  Special consideration is given to younger people when planning the activities programme.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existing building holds a current warrant of fitness and an approved fire evacuation plan.  The facility is well-maintained.  There are effective waste management systems in place and chemicals are stored safely.  Hazardous risks are identified and managed.  All cleaning supplies are stored in locked cupboards.  </w:t>
      </w:r>
    </w:p>
    <w:p w:rsidRPr="00A4268A">
      <w:pPr>
        <w:spacing w:before="240" w:line="276" w:lineRule="auto"/>
        <w:rPr>
          <w:rFonts w:eastAsia="Calibri"/>
        </w:rPr>
      </w:pPr>
      <w:r w:rsidRPr="00A4268A">
        <w:rPr>
          <w:rFonts w:eastAsia="Calibri"/>
        </w:rPr>
        <w:t xml:space="preserve">Security cameras are strategically located inside and outside of the facility.  All windows have security locks that are checked each night by staff.  A security company patrols in the hours of darkness.  </w:t>
      </w:r>
    </w:p>
    <w:p w:rsidRPr="00A4268A">
      <w:pPr>
        <w:spacing w:before="240" w:line="276" w:lineRule="auto"/>
        <w:rPr>
          <w:rFonts w:eastAsia="Calibri"/>
        </w:rPr>
      </w:pPr>
      <w:r w:rsidRPr="00A4268A">
        <w:rPr>
          <w:rFonts w:eastAsia="Calibri"/>
        </w:rPr>
        <w:t xml:space="preserve">Residents’ rooms are single accommodation.  Resident rooms are personalised with residents bringing their own personal belongings.  There is a large lounge and dining area in each wing.  There is adequate space for residents to move freely.  Exterior areas are well-maintained with a secure garden area located in the dementia unit.  </w:t>
      </w:r>
    </w:p>
    <w:p w:rsidRPr="00A4268A">
      <w:pPr>
        <w:spacing w:before="240" w:line="276" w:lineRule="auto"/>
        <w:rPr>
          <w:rFonts w:eastAsia="Calibri"/>
        </w:rPr>
      </w:pPr>
      <w:r w:rsidRPr="00A4268A">
        <w:rPr>
          <w:rFonts w:eastAsia="Calibri"/>
        </w:rPr>
        <w:t>In the event of a disaster or a pandemic, emergency plans are in place with civil defence kits strategically placed throughout the facility and spills kits readily available.  Fire drills take place every six months.  Emergency water and food supplies are sufficient for a minimum of five days for residents and staff.  There is a generator and gas barbeques on-site.  A minimum of one staff is always available with a current first aid and CPR certificate.  A registered nurse is always on-site.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eleven residents using restraint and two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Bupa Sunset has an infection control programme that complies with current best practice.  There is a dedicated infection control nurse who has a role description.  The infection control programme is reviewed annually at organisational level.  Infection control education is provided at orientation and incorporated into the annual training programme.  Training records were sighted.  Education provided includes an evaluation of the session and content delivered.  Records of all infections are now kept electronically for benchmarking.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policy and procedure is implemented.  Discussions with the care home manager, clinical manager/RN, and fourteen staff (five caregivers, three registered nurses (RNs), two activities staff, one cleaning supervisor, one kitchen manager, one laundry manager, one maintenance staff) confirmed their familiarity with the Code and could provide examples of how they apply this knowledge to their working environment.  Interviews with twelve residents (seven rest home which included one resident on the young person with a disability (YPD) contract, and five hospital) and eight relatives (three hospital, two rest home, three dementia) confirmed that the services being provided are in line with the Code.  The Code is discussed at the residents’ meetings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for informed consent. Completed resuscitation consent forms were evident in all 12 resident files reviewed (four hospital - including one long-term chronic conditions (LTSCC) contract, four rest home including one YPD contract and four dementia).  General consent forms were evident on files reviewed.  Discussions with staff confirmed that they are familiar with the requirements to obtain informed consent for entering rooms and personal care.  Enduring power of attorney (EPOA) evidence was filed in the residents’ charts.  Interviews with residents and relatives confirmed discussions around gaining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the role of advocacy services.  Staff receive annual training on advocacy.  Information about accessing advocacy services is available in the information presented to residents and their families during entry to the service.  Advocacy support is available if requested.  Interviews with staff, residents and relatives confirmed that they were aware of advocacy services and how to access an advocate.  An appointed advocate and their contact details are posted in a visible location for residents and families to access.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reminds the complainant of their right to contact the health and disability advocacy service with contact details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Care staff interviewed confirmed that residents are encouraged to build and maintain relationships.  Visiting can occur at any time.  Community links were evident.  Community links are through the local churches, the RSA and residents going out on regular outings.  Special outings are in place for the four residents on the YPD contract (two rest home and two hospital) and include one-on-one shopping visits, and taking them out to lunch.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Two complaints have been lodged in 2017 (year-to-date).  Verbal and written complaints are documented.  Both complaints had a noted investigation.  Timelines determined by HDC were met, and corrective actions were implemented.  One of the complaints lodged around residents’ cares involved the DHB.  The action plan was developed with assistance provided by the DHB portfolio manager (28 April 2017) and was signed off on 6 June 2017.  Examples were provided during the audit to ensure that corrective actions were continuing to be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in English and in Māori.  The service is able to provide information in different languages and/or in large print if requested.  On entry to the service the care home manager or clinical manager discusses the Code with the resident and the family/whānau.  Information is given in the information pack to the resident, next of kin or enduring power of attorney (EPOA) to read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which align with requirements of the Privacy Act and Health Information Privacy Code.  During the audit, staff were observed gaining permission prior to entering residents’ rooms.  All care staff interviewed demonstrated an understanding of privacy and could describe how choice is incorporated into residents’ cares.  Residents and family members interviewed confirmed that staff promote the residents’ independence wherever possible and that residents’ choices are encouraged.  There is an abuse and neglect policy that is implemented and staff have undertaken annual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Māori cultural policies to help meet the cultural needs of its Māori residents.  Bupa has developed Māori tikanga best practice guidelines, which are posted in visible locations.  The service has established links with local Māori advisors including the Waipareira Trust.  Staff training includes cultural safety training.  A cultural assessment is completed during the Māori resident’s entry to the service.  There was one hospital level resident who identified as Māori but was unable to be interviewed.  Whānau were also not available.  The residents’ file identified specific cultural preferences (eg, listening to Māori radio and television, not to touch the head without consent).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were satisfied that the residents’ cultural and individual values were being met.  Information gathered during assessment including residents’ cultural beliefs and values is used to develop a care plan, which the resident (if appropriate) and/or their family/whānau are asked to consult on.  Discussions with staff confirmed that they are aware of the need to respond to the cultural needs of the residents.  There were eight (Indian) residents at the facility who were unable to speak English proficiently. The multicultural staff and families are able to assist with translation.  Indian food is cooked for the Indian residents daily.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all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The service receives support from the district health board which includes visits from specialists (eg, wound care, mental health) and staff education and training.  Physiotherapy services are provided nine hours per week.  There is a robust education and training programme for staff that includes in-service training, impromptu training (toolbox talks) and competency assessments.  Podiatry services and hairdressing services are provided.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 record of family communication is held in the front of each resident’s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incidents/accidents forms selected for review indicated that family were informed.  Families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Sunset Care Home is part of the Bupa group of aged care facilities.  The care facility has a total of 124 beds suitable for rest home, hospital (geriatric and medical) and dementia levels of care. The facility is also certified for residential disability (physical and intellectual).  During the audit, there were 123 residents (32 rest home, 64 hospital, and 27 dementia).  There are 49 dual-purpose beds located on the ground and second levels. The first level of the facility is hospital level only.  Four residents (two rest home and two hospital) were on the young persons with a disability (YPD) contract and three residents (one hospital, two rest home) were on the LTSCC contract.  </w:t>
            </w:r>
          </w:p>
          <w:p w:rsidR="00EB7645" w:rsidRPr="00BE00C7" w:rsidP="00BE00C7">
            <w:pPr>
              <w:pStyle w:val="OutcomeDescription"/>
              <w:spacing w:before="120" w:after="120"/>
              <w:rPr>
                <w:rFonts w:cs="Arial"/>
                <w:b w:val="0"/>
                <w:lang w:eastAsia="en-NZ"/>
              </w:rPr>
            </w:pPr>
            <w:r w:rsidRPr="00BE00C7">
              <w:rPr>
                <w:rFonts w:cs="Arial"/>
                <w:b w:val="0"/>
                <w:lang w:eastAsia="en-NZ"/>
              </w:rPr>
              <w:t>Bupa's overall vision and values are displayed in a visible location.  All staff are made aware of the vision and values during their induction to the service.  There is an overall Bupa business plan and risk management plan.  There are documented quality/health and safety goals that are reviewed monthly and signed off when achieved.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worked in aged care and management for over nine years.  She is supported by an experienced clinical manager/RN.  Both the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clinical manager/RN is in charge.  In the absence of the clinical manager/RN, a unit coordinator/RN is in charge of clinical operations.  For extended absences, a Bupa relieving care home manager is rostered.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managers and staff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interRAI for an aged care service and meet current health and safety legislative requirements.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(eg, falls, medication errors, wounds, skin tears, pressure injuries, complaints, challenging behaviours) are collated and analysed with results communicated to staff.  Data collected is benchmarked against other Bupa facilities.  Corrective actions are implemented where benchmarked data exceeds targets.  Corrective actions around falls and managing challenging behaviours have had positive results.   </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In addition to scheduled monthly internal audits, an annual facility health check is conducted by an external Bupa representative.  Areas of non-compliance include the initiation of a corrective action plan with sign-off by a manager when implemented.  Corrective actions from the last health check (22 June 2017) identified corrective actions that have been implemented and signed off.  Quality and risk data is shared with staff via meetings and posting results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programme includes specific and measurable health and safety goals that are regularly reviewed.  There is an appointed health and safety officer who is supported by health and safety representatives.  The health and safety team meets three-monthly.  Staff undergo annual health and safety training which begins during their orientation.  Contractors are required to be inducted into the facility and sign a health and safety information sheet when this has been completed.  The hazard register is reviewed three-monthly.  Bupa belongs to the ACC partnership programme and has attained their tertiary level (expiry 31 March 2018).</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to reduce the number of falls.  This includes, but is not limited to ensuring call bells are placed within reach, the use of sensor mats, encouraging participation in activities, physiotherapy input and intentional rounding.  Residents at risk of falling have a falls risk assessment completed with strategies implemented to reduce the number of falls.  Caregiver interviews confirmed that they are aware of which residents are at risk of falling and that this is discussed during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manager and/or registered nursing staff, evidenced in all 20 accident/incident forms reviewed.  Adverse events are trended and analysed with results communicated to staff.  There is evidence to support actions are undertaken to minimise the number of incidents.  Clinical follow-up of residents is conducted by a registered nurse.  Unwitnessed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moving towards the use of an electronic database (Riskman) for adverse event reporting purposes.  Hardcopy accident/incident forms were reviewed during this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care home manager confirmed her awareness of the requirement to notify relevant authorities in relation to essential notifications with examples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A register of current practising certificates is maintained.  Ten staff files reviewed (five caregivers, one activities coordinator, one kitchen manager and three RNs) evidenced that reference checks are completed before employment is offered.  Also sighted were signed employment agreements and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The education programme being implemented is extensive and includes in-service training, competency assessments, and impromptu (tool box) talks.  Caregivers are expected to complete an aged care education programme that meets the New Zealand Quality Authority (NZQSA)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has completed a qualification in food safety and food hygiene.  All kitchen staff have completed their food safety training on-site.  Chemical safety training is included in staff orientation and as a regular in-service topic.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eleven RNs and two ENs have submitted their PDRP.  Eleven of twelve RNs have completed their interRAI training.  The care home manager, clinical manager and staff attend external training including sessions provided by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Sixteen caregivers work in the dementia unit.  Thirteen have completed their dementia qualification and the remaining three caregivers are enrolled and have been working in the unit for less than one year.  The clinical manager reports that cleaning staff have also completed a dementia qualification and have been very helpful in assisting residents with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Sufficient staff are rostered to manage the care requirements of the residents.  The facility covers three floors with an elevator and stairs for access.  The facility had 123 out of 124 residents living at the facility with a recent vacancy from a double room.  There were no empty rooms.  Staff RNs are rostered to work 12-hour shifts.  Staffing levels described below are in addition to the clinical manager/RN who is rostered Monday – Friday.  There are a total of two RNs and seven caregivers rostered during the night shifts.</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(27 residents) and a dual-purpose wing (14 rest home and 8 hospital) are on the ground level.  A unit coordinator and a staff RN cover this floor from 7am to 7pm and one RN covers the 7pm to 7am shift.  The RNs on the ground level are supported by adequate numbers of caregivers.  The first floor (hospital only) consists of two wings (47 residents) and is rostered with two RNs (7am to 7pm) and one RN from 7pm to 7am.  There are sufficient numbers of caregivers rostered for the first floor.  The second floor (nine hospital and eighteen rest home) is staffed with an EN Monday – Friday and adequate numbers of caregivers.  The second floor is supported by the RNs who attend to residents on the second floor twice per shift.  The facility manager reported that only high functioning hospital level residents reside on the second floor.</w:t>
            </w:r>
          </w:p>
          <w:p w:rsidR="00EB7645" w:rsidRPr="00BE00C7" w:rsidP="00BE00C7">
            <w:pPr>
              <w:pStyle w:val="OutcomeDescription"/>
              <w:spacing w:before="120" w:after="120"/>
              <w:rPr>
                <w:rFonts w:cs="Arial"/>
                <w:b w:val="0"/>
                <w:lang w:eastAsia="en-NZ"/>
              </w:rPr>
            </w:pPr>
            <w:r w:rsidRPr="00BE00C7">
              <w:rPr>
                <w:rFonts w:cs="Arial"/>
                <w:b w:val="0"/>
                <w:lang w:eastAsia="en-NZ"/>
              </w:rPr>
              <w:t>Adequate numbers of caregivers are rostered with the Bupa casual pool covering absences.  Two activities staff (one who is a diversional therapist) are rostered five days a week.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caregiver or RN.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 admission agreements reviewed meet the requirements of the ARCC.  Exclusions from the service are included in the admission agreement.  All admission agreements viewed (including respite)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was one resident self-administering on the day of audit. The resident had been assessed as competent to self-administer and had signed a consent form. The medications were stored in a locked cupboard in the resident’s room.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robotic pack system.  Medications are checked on arrival and any pharmacy errors recorded and fed back to the supplying pharmacy.  Registered nurses and senior caregivers administer medications in the hospital, rest home and dementia unit.  Staff attend annual education.  All staff administering medications have current medication competencies.  Registered nurses have syringe driver training completed by the hospice service. The medication fridge temperature is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system.  Staff sign for the administration of medications on the electronic system.  Twenty-four electronic medication charts were reviewed (eight hospital, eight rest home – including one YPD and eight dementia).  Medications are reviewed at least three-monthly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kitchen manager/cook oversees food provision.  He is supported by an assistant cook, two part-time cooks and two kitchenhands.  All food is cooked on-site in a well-equipped kitchen.  The kitchen manager/chef is an approved assessor for kitchen modules and undertakes refreshers for staff.  Kitchen staff had attended training in safe food handling and chemical safety.  The kitchen manager is also a member of the health and safety and quality committee.  </w:t>
            </w:r>
          </w:p>
          <w:p w:rsidR="00EB7645" w:rsidRPr="00BE00C7" w:rsidP="00BE00C7">
            <w:pPr>
              <w:pStyle w:val="OutcomeDescription"/>
              <w:spacing w:before="120" w:after="120"/>
              <w:rPr>
                <w:rFonts w:cs="Arial"/>
                <w:b w:val="0"/>
                <w:lang w:eastAsia="en-NZ"/>
              </w:rPr>
            </w:pPr>
            <w:r w:rsidRPr="00BE00C7">
              <w:rPr>
                <w:rFonts w:cs="Arial"/>
                <w:b w:val="0"/>
                <w:lang w:eastAsia="en-NZ"/>
              </w:rPr>
              <w:t>At interview, the kitchen manager described that the RN completes each resident’s nutritional profile on admission with the aid of the resident and family.  There is a four-weekly seasonal menu developed by a dietitian (last reviewed June 2017 at organisational level).  Diets are modified as required.  Likes/dislikes, puree diets and special diets are catered for.  Alternatives are offered.  Resident’s specific cultural needs are met.  Food served on the day of audit was hot and well presented.  Equipment is available on an ‘as needed’ basis.  Residents requiring extra support to eat and drink are assisted and this was observed during lunch.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works closely with the clinical manager to manage weight loss, providing feedback on consumption, adding high protein and energy foods, small and frequent meals.  Feedback is encouraged daily via individual or at resident meetings and annual surveys. The residents interviewed spoke highly about meals provided and they all stated that they are asked about their food preferences.  </w:t>
            </w:r>
          </w:p>
          <w:p w:rsidR="00EB7645" w:rsidRPr="00BE00C7" w:rsidP="00BE00C7">
            <w:pPr>
              <w:pStyle w:val="OutcomeDescription"/>
              <w:spacing w:before="120" w:after="120"/>
              <w:rPr>
                <w:rFonts w:cs="Arial"/>
                <w:b w:val="0"/>
                <w:lang w:eastAsia="en-NZ"/>
              </w:rPr>
            </w:pPr>
            <w:r w:rsidRPr="00BE00C7">
              <w:rPr>
                <w:rFonts w:cs="Arial"/>
                <w:b w:val="0"/>
                <w:lang w:eastAsia="en-NZ"/>
              </w:rPr>
              <w:t>Fridge/freezer, dishwasher and end cooked food temperatures are monitored daily.  Food safety information and a kitchen manual are available in the kitchen. The kitchen and the equipment are well maintained.  Food in the fridge and chiller were covered and dated.  The kitchen is clean and all food is stored off the floor.  Chemicals are locked away.  Material safety datasheets are available and there is a locked chemical storage room.  A cleaning schedule is maintained.</w:t>
            </w:r>
          </w:p>
          <w:p w:rsidR="00EB7645" w:rsidRPr="00BE00C7" w:rsidP="00BE00C7">
            <w:pPr>
              <w:pStyle w:val="OutcomeDescription"/>
              <w:spacing w:before="120" w:after="120"/>
              <w:rPr>
                <w:rFonts w:cs="Arial"/>
                <w:b w:val="0"/>
                <w:lang w:eastAsia="en-NZ"/>
              </w:rPr>
            </w:pPr>
            <w:r w:rsidRPr="00BE00C7">
              <w:rPr>
                <w:rFonts w:cs="Arial"/>
                <w:b w:val="0"/>
                <w:lang w:eastAsia="en-NZ"/>
              </w:rPr>
              <w:t>Food audits are carried out as per the yearly audit schedule.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completed on admission and reviewed at least six-monthly or when there was a change to a resident’s health condition.  The interRAI assessment tool is implemented.  InterRAI assessments had been completed for all long-term residents whose files were sampled.  Care plans sampled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resident-centred.  Interventions documented support needs and provided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physiotherapist, podiatrist, wound care specialist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 that they notify family members about any changes in their relative’s health status.  All care plans sampled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documented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occurs as planned.  There are currently eighteen wounds and two pressure injuries being treated.  Three wounds have had input from the GP and wound care specialist.  There are skin mapping graphs and photos of six wounds. </w:t>
            </w:r>
          </w:p>
          <w:p w:rsidR="00EB7645" w:rsidRPr="00BE00C7" w:rsidP="00BE00C7">
            <w:pPr>
              <w:pStyle w:val="OutcomeDescription"/>
              <w:spacing w:before="120" w:after="120"/>
              <w:rPr>
                <w:rFonts w:cs="Arial"/>
                <w:b w:val="0"/>
                <w:lang w:eastAsia="en-NZ"/>
              </w:rPr>
            </w:pPr>
            <w:r w:rsidRPr="00BE00C7">
              <w:rPr>
                <w:rFonts w:cs="Arial"/>
                <w:b w:val="0"/>
                <w:lang w:eastAsia="en-NZ"/>
              </w:rPr>
              <w:t>One resident has a PEG in situ and one has a right jugular tunnel line.  There are protocols for the care of these in place and assistance from specialist nurses at ADHB is available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proactive regarding weight loss and uses food and fluid recording charts if required.  Weight is recorded monthly or more often if needed.  Referral to the dietitian will be made by the GP when appropriate.  Supplements may be initiated.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behaviours that challenge.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32-hours per week.  She is supported by an activity assistant who is employed for 40 hours per week. The activity team have access to a Bupa diversional therapy (DT) team at head office and attend the regional DT/activities regional study days with training and education including guest speakers.  The DT is a member of the society of diversional therapists and actively networks with other DTs and activities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programme, which is reviewed when their plan of care is reviewed and as part of their interRAI assessment. </w:t>
            </w:r>
          </w:p>
          <w:p w:rsidR="00EB7645" w:rsidRPr="00BE00C7" w:rsidP="00BE00C7">
            <w:pPr>
              <w:pStyle w:val="OutcomeDescription"/>
              <w:spacing w:before="120" w:after="120"/>
              <w:rPr>
                <w:rFonts w:cs="Arial"/>
                <w:b w:val="0"/>
                <w:lang w:eastAsia="en-NZ"/>
              </w:rPr>
            </w:pPr>
            <w:r w:rsidRPr="00BE00C7">
              <w:rPr>
                <w:rFonts w:cs="Arial"/>
                <w:b w:val="0"/>
                <w:lang w:eastAsia="en-NZ"/>
              </w:rPr>
              <w:t>There are two group activity programmes implemented Monday to Friday between the hours of 9 am to 4 pm in all three lounges (the two hospital/rest home lounges and the dementia lounge).  All residents can attend activities on offer, which are considered appropriate to their recreational needs.  One-on-one time is spent with the four YPD residents to ascertain their individual needs.  The DT or activity assistant accompanies these residents on regular weekly outings; shopping trips, out for lunch or to visit a place of their choice (recent visit to the Auckland Air NZ display at the museum).  One YPD long-term resident recently went on an outing for the very first time.  One other YPD resident helps with the barbeques.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programmes are delivered to residents in their rooms when they are unable to or choose not to participate in the group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programme covers physical, cognitive, social and spiritual needs.  There are regular visiting entertainers and community groups.  Targeted group programmes are offered as appropriate to meet the needs of subsets of residents.  There is a Catholic church service weekly and some residents attend church services in the community.  All residents have the opportunity to go on outings using the service’s bus.  A caregiver or activity person accompanies the DT on outings.  The DT drives the bus and she has a current drivers licence and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activity programme through the bi-monthly resident meeting and resident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satisfied with the activities programmes on offer.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twelve long-term care plans reviewed had been evaluated by the registered nurses six-monthly or when changes to care occurs.  Short-term care plans for short-term needs are evaluated and signed off as resolved or added to the long-term care plan as an ongoing problem.  Activities plans are in place for each of the long-term residents and these are also evaluated six-monthly.  The multidisciplinary review involves the RN, GP and resident/family if they wish to attend.  There is at least a three-monthly review by the GP for the rest home and dementia unit and one-monthly for hospital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wound care specialists and mental health services for older people.  Discussion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effective system of waste management in place.  Dedicated staff manage the purpose-built laundry, which provides laundry services for six (including Sunset) Bupa facilities.  Chemicals are supplied by an external contractor and stored securely throughout the facility when not in use.  Appropriate policies are available along with chemical material safety datasheets.  Education on hazardous substances occurs at orientation and is included in in-service training.  There is appropriate signage throughout regarding chemical storage and hazards.  There is personal protective equipment available for use by staff and this was in use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23 April 2018.  The facility employs a full-time maintenance manager.  There are proactive and reactive maintenance management plans in place.  The grounds and gardens are maintained by an external gardening company.  Contracted providers test equipment.  Electrical testing of non-hard-wired equipment was last conducted June 2017.  Medical equipment requiring servicing and calibration was last conducted June 2017.  There are hazard management systems in place to ensure the physical environment minimises risk of harm, promotes safe mobility, aids independence and is appropriate to the needs of the residents and any visitors to the facility. The facility's amenities, fixtures, equipment and furniture are appropriate for the level of service contracted.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adequate internal space to meet their needs.  There are smaller lounges that YPD residents can utilise.  There is sufficient space to allow residents to move around the facility freely.  The hallways have hand 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the resident's own personal belongings displayed.  External areas and garden areas surrounding the facility are well maintained.  Level paths to the outside areas provide safe access for residents and visitors.  Pathways are clear and well maintained.  The facility has a 10-seater van available for transportation of residents.  Those transporting residents are designated drivers.  They hold a current driver’s license and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 secured dementia wing has access to a large lounge, smaller lounges and well maintained outdoor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toilets and showers (including communal) for residents.  The majority of rest home and hospital residents have shared ensuites or shared toilets except for eight rooms (includes one double room) who access communal bathrooms.  The rooms sharing a toilet only each have a hand basin in the room.  All residents in the dementia wing use one of three communal showers and toilets.  Separate visitor and staff toilet facilities are available in all wings.  Water temperatures are monitored and temperatures are maintained at or below 45 degrees Celsius.  Fixtures fittings and flooring are appropriate and toilet/shower facilities are constructed for ease of cleaning.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all bedrooms for residents and staff.  Caregivers confirmed they could move freely to provide cares and there is enough space to move mobility equipment safely.  Doorways into residents' rooms and communal areas are wide enough for wheelchair, trolley and bed access.  The residents interviewed stated they are happy with their rooms.  Dementia resident rooms are spacious and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main lounge and dining area in each unit.  There are smaller lounge areas within the facility.  Residents were seen to be moving freely throughout the facility.  Residents can move freely from their bedrooms to communal rooms and the outside.  Internal and external doorways are level with pavements, which allows wheelchair access.  Activities occur in the main lounges and residents can access their rooms or smaller lounges for privacy when required.  On the day of audit residents in the dementia wing were observed to be walking freely about, some were making toasties with the activities assistant, others were doing artwork.  Residents stated that they are happy with the layout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team of household staff managed by the full-time cleaning supervisor cleans the facility.  There is a team of five cleaners, who cover a seven-day service.  The cleaners have access to the appropriate equipment and chemicals.  Cleaning equipment and cleaning chemicals are stored securely when not in use.  The laundry manager oversees laundry services with a team of eleven laundry staff.  Laundry is completed for six Bupa sites at Sunset.  The internal auditing system and the satisfaction surveys monitor cleaning and laundry services.  Corrective actions are signed off once completed.  Cleaning and laundry staff receive training at orientation and through the in-service programme.  There are policies in place to guide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scheme dated 20 November 2014 in place.  There is a comprehensive civil defence and emergency procedures manual in place.  Civil defence kits on each floor are readily accessible in a storage cupboard.  The kits include an up-to-date register of all residents’ details.  The facility is well prepared for civil emergencies and has emergency lighting and BBQs.  There is a generator.  The kitchen has both electric and gas power.  A store of potable emergency water is kept.  An emergency food supply, sufficient for five days, is kept in the kitchen.  Extra blankets are also available.  Hoists have battery packs and there are batteries that can be used to operate electric beds in the event of a power failure.  Oxygen cylinders are available for use in the event of a power failure.  There is a list of names and contact details of staff so that they can easily be contacted in an emergency.  At least five days stock of other products such as medicines, continence products and personal protective equipment is held on-site.  There is a store cupboard of supplies necessary to manage an outbreak of infection.  All key staff hold a current first aid certificate.  The facility is secured during the hours of darkness.  Staff are security conscious.  An external security firm monitors the facility overnight.  Appropriate training, information and equipment for responding to emergencies are provided.  Staff training in emergency management occurs.  The latest fire evacuation was held on 22 May 2017.  Fire evacuation drills are held at least six-monthly and usually more frequently to ensure all staff are well trained.  The call bell system is electric and available in all areas and there are indicator panels in each area.  During the tour of the facility, residents were observed to have easy access to the call bells.  Residents spoken to stated that their bells are answered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 facility has thermostatically controlled wall mounted heaters in each resident room (except dementia wing) and heat pumps in communal areas.  There are overhead heating units in the bedrooms in the dementia wing.  All bedrooms and communal areas have at least one external window.  The indoor temperatures were pleasant and warm.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programme and its content and detail is appropriate for the size, complexity and degree of risk associated with the service.  Staff are well informed about infection control practises and reporting.  The infection control coordinator is a registered nurse (clinical manager) and she is responsible for infection control across the facility.  The IC committee and the Bupa governing body in conjunction with Bug Control, is responsible for the development of the infection control programme and its review.  A lower north/southern regional infection control meeting addresses infection control issues across the organisation.  The infection control programme is well established at Bupa Sunset.  The quality/infection control committee consists of a cross section of staff and there is external input as required from general practitioners, and the local community laboratory.  There have been no outbreaks since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Sunset.  The IC coordinator has maintained best practice by attending IC updates (Bug control last February 2017).  The IC team is representative of the facility.  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manual outlines a comprehensive range of policies, standards and guidelines and defines roles, responsibilities and oversight, the IC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The orientation package includes specific training around hand washing and standard precautions.  IC training was last provided July 2015.</w:t>
            </w:r>
          </w:p>
          <w:p w:rsidR="00EB7645" w:rsidRPr="00BE00C7" w:rsidP="00BE00C7">
            <w:pPr>
              <w:pStyle w:val="OutcomeDescription"/>
              <w:spacing w:before="120" w:after="120"/>
              <w:rPr>
                <w:rFonts w:cs="Arial"/>
                <w:b w:val="0"/>
                <w:lang w:eastAsia="en-NZ"/>
              </w:rPr>
            </w:pPr>
            <w:r w:rsidRPr="00BE00C7">
              <w:rPr>
                <w:rFonts w:cs="Arial"/>
                <w:b w:val="0"/>
                <w:lang w:eastAsia="en-NZ"/>
              </w:rPr>
              <w:t>The IC coordinator has received education by an external provider to enhance her skills and knowledge.  The IC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A number of toolbox talks have been provided including (but not limited to) managing and preventing respiratory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IC coordinator uses the information obtained through surveillance to determine IC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IC audits also assist the service in evaluating infection control needs.  There is close liaison with the general practitioners and community laboratory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IC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Infections statistics are included for benchmarking.  Corrective actions are established where infections are above the benchmark.  There has been a significant reduction in the number of urinary tract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infections are documented monthly in an infection control register which is now electronic (from August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eleven hospital level residents with restraints and two residents using an enabler.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Staff education including assessing staff competency on RMSP/enablers is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who was using bedrails as an enabler was selected for review.  An enabler assessment was completed.  The resident had voluntarily requested bedrails for their safety and was able to inform staff when the enabler should be removed.  Enabler use for this resident was reviewed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(staff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files for residents using restraints (bedrails) were reviewed.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and include bed rails (seven) and lap belts (five) with one resident using both.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evidenced in both residents’ files where restraint was in use.  An internal restraint audit, conducted annually,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two hourly checks (at a minimum) were sighted on the monitoring forms for both residents using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completed three-monthly and were evidenced in both files reviewed.  Restraint use is discussed in the RN and quality meetings and was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restraint minimisation programme is discussed and reviewed at a national level and includes identifying trends in restraint use, reviewing restraint minimisation policies and procedures and reviewing the staff education and training programme.  The restraint coordinator reported that she participates in these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44"/>
        <w:gridCol w:w="1280"/>
        <w:gridCol w:w="4046"/>
        <w:gridCol w:w="67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Several quality initiatives and resident satisfaction survey results reflect best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Sunset Home and Hospital has a long-standing and experienced management team with a stable staff and low turnover.  In 2016 the clinical manager was awarded the ADHB Nurse of the Year for aged care and was the NZ finalist in the Bupa global awards for ‘everyday hero’.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clinical placements and a supportive training environment for student nurses and healthcare assistants, which has now extended to include medical students and paramedic students.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a physiotherapist, a physiotherapy assistant provides passive exercises for bed-bound residents twice per week.  Successful outcomes have included three residents who were previously either wheelchair bound or immobile and are now ambulating with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of the twelve RNs have completed their interRAI training.  Six RNs and two ENs have submitted their professional development recognition portfolio (PDRP) folders and the remaining six RNs are scheduled to submit their folders by October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Falls have reduced significantly in the dementia unit in 2017.  The rate of challenging behaviours is also consistently below the benchmark and is noted in particular for dementia level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strategies have been implemented to reduce the number of falls.  Staff are regularly informed via a newsletter developed by the clinical manager to keep them informed regarding the number of falls.  Caregivers are assisted to the lounge to supervise residents.  Red falls stickers are placed on bedroom doors and walking devices to identify those residents who are at risk of falling.  Cleaning staff have completed their Careerforce training which has allowed them to assist with residents’ cares and provides distractions and interventions to minimise falls.  The staff celebrate days where there have been no falls in their wing.  Falls have reduced significantly in 2017 in the dementia unit with only one month with rates above benchmark (16.1) and six months below benchmark (8).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in particular has implemented a number of strategies to reduce the incidents of challenging behaviours.  The activities programme addresses times when residents are most challenging (sun-downing), and staff working in the dementia unit are proficient in dealing with residents with challenging behaviours.  The number of incidents of challenging behaviours in dementia has not exceeded the benchmark for the entire 2017 year.  Observations in the unit reflected a calm atmosphere.  Interviews with four families (dementia level) confirmed that staff are excellent at managing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2016, the service identified an area to improve on resident satisfaction with food services.  The service sought increased feedback from residents regarding likes and dislikes and to plan meals accordingly to prevent complaints.  Residents were asked for feedback and the kitchen manager sought feedback at every mealtime and in resident meetings.  The outcome of this has resulted in increased in compliments over the last two years. The staff interviewed reported a strong emphasis on increasing resident satisfaction with food services at the forefront of their focus.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conducts annual resident satisfaction surveys.  The survey measures all areas of service delivery including food services.  In 2016, the service identified an area of improvement in resident satisfaction was required for food services.  There have been improvements noted across the food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initiatives were implemented.  The service encourages resident feedback. The kitchen manager visits wings during dining times to seek feedback, alternative options are offered at all meals (can have eggs for breakfast), buffets were introduced once a week in Kauri (rest home/hospital) wing.  The kitchen manager reviews each season’s feedback and implements changes as per resident request (buffets, more fresh foods and different salads in summertime, and barbeques).  Cultural needs are met.  Indian food is cooked daily and once a fortnight there are opportunities for Indian residents and their families to cook Indian food together, an Asian resident receives Asian food specific to her culture on a daily basis, other cultures are catered for too.  The AC interviewed stated one YPD resident facilitates barbeques.  Residents involved in meal planning for special events are organised and any special requests are discussed at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advised that residents and families were very responsive, and they appreciated the opportunity to discuss and feedback as a group or individually, directly with the managers, nurses and cook, any matters of concern, likes or dislikes.  This led to residents making suggestions for improvements.  When new residents enter the service or residents raise concerns about the standard of meals the cook goes to meet with them to discuss individual likes/dislikes.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very responsive to resident’s requests for favourite meals, such as bacon and eggs for breakfast, fish and chips or exchanges for any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added more compliments over the last year.  Resident meetings are more positive and less focused on food complaints and are now about food alternatives and likes/dislikes.  Residents interviewed stated they were very happy with the food services and felt comfortable to raise any concerns or suggestions.  Overall satisfaction was maintained (87% in 2016 and 86% in 2017), there was an increase in compliments (five in 2016 and nine in 2017 to date), there were less referrals to the dietitian for weight loss (eight referrals in 2015, four in 2016 and two in 2017 and six of these residents put on weight).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positive impact on the resident's satisfaction with food services since seeking active participation and feedback from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robust infection control process in place.  Monitoring in each area is completed monthly and is reported to clinical and quality/health &amp; safety meetings.  Monthly organisational IC benchmarking meetings are also held where trends are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Infection-control data review documented a high urinary tract infection (UTI) rate amongst residents (rest home, hospital and dementia) in mid to late 2016.  Analyses of benchmarking data reflected an overall infection rate that has trended downward for the past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a process of staff education to ensure staff awareness of IC practices.  Quality initiatives are in place to reduce infections (regular checks all residents, two hourly fluids, hygiene care focus with oversight by RNs, introduction of lounge carers with two in each lounge at all times, education regarding early warning signs, ongoing on the floor ‘tool box’ education talks).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resulted in a significant reduction in UTIs in the first quarter of 2017.  UTIs remained below benchmarked levels (1-1.2).  At the time of audit, the UTI rate of 0-1 UTIs per 1000 occupied bed days continues to be below the benchmark in all areas (hospital, rest home and dementia care).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Sunset Rest Home &amp; Hospital</w:t>
    </w:r>
    <w:bookmarkEnd w:id="58"/>
    <w:r>
      <w:rPr>
        <w:rFonts w:cs="Arial"/>
        <w:sz w:val="16"/>
        <w:szCs w:val="20"/>
      </w:rPr>
      <w:tab/>
      <w:t xml:space="preserve">Date of Audit: </w:t>
    </w:r>
    <w:bookmarkStart w:id="59" w:name="AuditStartDate1"/>
    <w:r>
      <w:rPr>
        <w:rFonts w:cs="Arial"/>
        <w:sz w:val="16"/>
        <w:szCs w:val="20"/>
      </w:rPr>
      <w:t>29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