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Capital Residential Care Limited - Ocean View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Capital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Ocean View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September 2017</w:t>
      </w:r>
      <w:bookmarkEnd w:id="7"/>
      <w:r w:rsidRPr="009418D4">
        <w:rPr>
          <w:rFonts w:cs="Arial"/>
        </w:rPr>
        <w:tab/>
        <w:t xml:space="preserve">End date: </w:t>
      </w:r>
      <w:bookmarkStart w:id="8" w:name="AuditEndDate"/>
      <w:r w:rsidR="00A4268A">
        <w:rPr>
          <w:rFonts w:cs="Arial"/>
        </w:rPr>
        <w:t>22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Ocean View Residential Care provides cares for up to 20 residents requiring rest home level care.  On the day of the audit there were 15 residents.  The service is overseen by a facility manager, who has been in the position since June 2016.  She is supported by a clinical nurse manager who has been in the role for two and a half years.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service has addressed five of eleven findings from the certification audit in relation to, cultural safety, organisational policies, hazard management, admission agreements, and infection control programme review. </w:t>
      </w:r>
    </w:p>
    <w:p w:rsidRPr="00A4268A">
      <w:pPr>
        <w:spacing w:before="240" w:line="276" w:lineRule="auto"/>
        <w:rPr>
          <w:rFonts w:eastAsia="Calibri"/>
        </w:rPr>
      </w:pPr>
      <w:r w:rsidRPr="00A4268A">
        <w:rPr>
          <w:rFonts w:eastAsia="Calibri"/>
        </w:rPr>
        <w:t>There continues to be improvements required around internal audit outcomes, corrective actions, aspects of human resources, education, aspects of care planning and equipment.</w:t>
      </w:r>
    </w:p>
    <w:p w:rsidRPr="00A4268A">
      <w:pPr>
        <w:spacing w:before="240" w:line="276" w:lineRule="auto"/>
        <w:rPr>
          <w:rFonts w:eastAsia="Calibri"/>
        </w:rPr>
      </w:pPr>
      <w:r w:rsidRPr="00A4268A">
        <w:rPr>
          <w:rFonts w:eastAsia="Calibri"/>
        </w:rPr>
        <w:t>This surveillance audit identified further improvements required around, documentation timeframes, medication management, and safe food practices.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well informed including of changes in residents’ health.  Open communication between staff, residents and families is promoted, and confirmed to be effective.  Complaints and concerns have been managed and a complaints register is maintained.  Residents who identify as Māori have their needs met in a manner that respects their cultural values and beliefs.  Care is guided by a Māori healthcare plan and related policies. There is access to formal interpreting services if required.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data is collected. Residents/family meetings have been held and residents and families are surveyed annually.  There are health and safety policies documented to manage risk.  Incidents and accidents are reported and followed through. The service has an orientation programme in place that provides new staff with relevant information for safe work practice.  An education and training programme is documented.  There are documented employment processes.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process at Ocean View that includes an admission agreement that fulfils contractual requirements. The clinical nurse manager is responsible for each stage of service provision.  The clinical nurse manager assesses and develops the care plan documenting supports, needs, outcomes and goals with the resident and/or family/whānau input.  Resident files included specialist and allied health notes. The clinical nurse manager and medication competent caregivers are responsible for administration of medicines and complete annual medication competencies.  </w:t>
      </w:r>
    </w:p>
    <w:p w:rsidRPr="00A4268A" w:rsidP="00621629">
      <w:pPr>
        <w:spacing w:before="240" w:line="276" w:lineRule="auto"/>
        <w:rPr>
          <w:rFonts w:eastAsia="Calibri"/>
        </w:rPr>
      </w:pPr>
      <w:r w:rsidRPr="00A4268A">
        <w:rPr>
          <w:rFonts w:eastAsia="Calibri"/>
        </w:rPr>
        <w:t xml:space="preserve">An activities officer oversees the activity programme for the rest home. The programme includes community visitors and outings, entertainment and activities that meet the individual recreational, physical, cultural and cognitive abilities and preferences for the resident group.  Residents report satisfaction with the activities programme.  Residents' food preferences and dietary requirements are identified at admission and all meals are cooked on-site.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displayed at the entrance to the facility.  A code of compliance certificate has been issued for an upgrade of the existing fire alarm system in November 2016.  Certificates of compliance were sighted in regard to ongoing upgrades to the existing electrical system. Chemicals, soiled linen and equipment are safely stored.  Residents reported a timely staff response to call bells.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Ocean View has restraint minimisation and safe practice policies and procedures in place.  On the day of audit, there was one resident with a restraint and no residents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The programme is reviewed annually.  Aged care specific infection surveillance is undertaken and results reported at handover.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3"/>
        <w:gridCol w:w="1280"/>
        <w:gridCol w:w="101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is a complaint’s form available.  Information about complaints is provided on admission.  Interview with residents demonstrated an understanding of the complaints process.  All staff interviewed were able to describe the process around reporting complaints.  There is a complaint’s register.  Verbal and written complaints are documented.  There have been three complaints since the last audit.  All complaints reviewed had noted investigations, timeframes, corrective actions when required and resolutions in place if required.  Results are fed back to complainants.  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the three residents in the service who identify as Māori to integrate their cultural values and beliefs.  The principles of the Treaty of Waitangi are incorporated into day-to-day practice, as is the importance of whānau to Māori residents.  There is a current Māori healthcare plan developed with input from cultural advisers.  Current access to resources includes the contact details of local cultural advisers.  Guidance on Tikanga best practice is available and is supported by staff who identify as Māori in the facility. One resident who identified as Māori was interviewed and reported that staff acknowledge and respect their individual cultural needs and values. Two Māori resident files reviewed had their cultural values and beliefs addressed in their care plan.  The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Information is provided in formats suitable for the resident and their family.  Residents and family are informed prior to entry of the scope of services and any items they have to pay for that is not covered by the agreement.  Communication with family members is recorded on the incident report forms and in the resident daily progress notes.  Ten incident forms reviewed identify that family were notified following a resident incident.  Seven relatives and one family member interviewed confirmed on interview that the staff and management are approachable and available.  Staff were observed communicating effectively with residents.  The information pack is available in large print and advised that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 View Residential Care (Ocean View) is owned and operated by Capital Residential Care Limited.  The service provides rest home care for up to 20 residents.  On the day of the audit, there were 15 rest home level care residents.  This includes four residents on respite, one resident admitted under an Accident Compensation Corporation (ACC) contract and one resident on a ‘younger persons with disabilities’ (YPD) contract.  All other residents were under the aged residential related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reports to the owners of the company weekly on a variety of operational issues.  Ocean View has a 2016 – 2018 business plan that includes the home mission statement and philosophy of care.  The business plan includes current goals which have been evaluated.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an enrolled nurse who maintains an annual practicing certificate. The facility manager has been in the position since June 2016.  She is supported by a clinical nurse manager who has been in the role for two and a half years.  There is a casual registered nurse (RN) who provides back-up for the clinical nurse manager to cover in times of sickness or emergencies.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the clinical nurse manager have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includes an internal audit programme and data collection, analyses and review of adverse events including accidents, incidents, infections, wounds and complaints.  There is an internal audit programme, however not all scheduled monitoring has been completed.  Corrective actions documented are not always signed as implemented.  These shortfalls continue to remain an area for improvement since the previous audit. There are monthly quality meetings, bi-monthly staff meetings and four monthly resident meetings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organisational polices reviewed were documented and meet current best practice, legislative and contractual requirements.  The previous finding has been addressed around a documented policy for informed consent, death of a resident, safe food handling, interRAI requirements and the policy for challenging behaviour to comply with current best practice.  Residents are surveyed annually to gather feedback on the service provided.  The 2016 resident survey indicated satisfaction with the service, the 2017 resident survey had not been completed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system in place including policies to guide practice.  There is a current hazard register, which was last reviewed in September 2016.  Hazards are documented on the register and have interventions documented to manage the risk.  There is currently one electric blanket being used by resident, this was identified on the hazard register.  The previous finding has been addressed around hazard management.  Falls prevention strategies are in place, which include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nurse manager investigates accidents, and completes a table of incidents, analysis of the data is not completed (link 1.2.3.6).  There is a discussion of incidents/accidents at quality and staff meetings.  The clinical nurse manager conducts clinical follow-up of residents.  Ten incident forms reviewed demonstrated that appropriate clinical follow-up and investigation occurred following incidents.  Discussions with the facility manager confirmed that there is an awareness of the requirement to notify relevant authorities in relation to essential notifications.  Three section 31 notifications were completed since the last audit.  The notifications were for a pressure injury in February 2017, coroner’s inquest in July 2017 and a vomiting/diarrhoea outbreak in September 2017, public health was also informed of the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This includes that the recruitment and staff selection process requires that relevant checks be completed to validate the individual’s qualifications, experience and veracity.  Five staff files were reviewed (one facility manager, one clinical nurse manager, two caregivers and one cook).  However, signed job descriptions, orientation checklists, up-to-date annual performance appraisal and reference checks were not all evident in all the staff files reviewed.  A copy of practising certificates is kept.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service has an annual education planner that has scheduled education to cover the requirements of the ARRC contract.  Not all mandatory topics outlined on the schedule have been delivered in the past two years.  The facility manager and clinical nurse manager are able to attend external training, including sessions provided by the local DHB.  The clinical nurse manager and facility manager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 View has a policy for staff rationale.  A facility manager and clinical nurse manager are rostered on from Monday to Friday.  The facility manager and clinical nurse manager cover the on-call and provide cover for each other for periods of leave.  A casual RN provides back up for the clinical nurse manager to cover in times of sickness or emergencies.  There are two caregivers on the morning and afternoon shifts, and there is one caregiver on the night shift.  There is a staff workload monitoring policy, which takes the acuity of residents into consideration when determining staff numbers on duty.  Residents and relative interviewed confirm that there are sufficient staff on-site at all times and staff are approachable and in their opinion, competent, professional, respectful and friendly.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on the care services is provided for families and residents prior to or on admission.  Six admission agreements for long-term residents were signed.  A previous corrective action request to ensure the admission agreement is in line with contractual requirements has been addressed, in respect to specific timeframes around reimbursement of overpayments and not charging for services that are not required to be provided.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an electronic medication management system for administering medications, however the facility’s GP is the only GP at the local practice who is familiar with this system.  As evident during audit, when the GP is on leave, locum GPs prescribe manually on a prescription.  The pharmacy fills the prescription and provides the facility with a signing sheet. The facility has no documentation with a GPs signature on which to administer the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facility manager and caregivers who administer medications have been assessed for competency on an annual basis.  Education around safe medication administration has been provided.  Standing orders are not used. There was one resident who was self-medicating on the day of audit.  Compliance with the policy on safe self-administration is not sighted.  All medications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controlled drugs on-site at the time of audit, however safe storage and accuracy of controlled drug records was sighted.  All eye drops are replaced each month.  The medication requiring refrigeration is kept in a container in a fridge in the kitchen, however the temperature of this fridge has not been monitored in the last month.  The refrigerated medication in storage was disposed of at audit.  All ten electronic medication charts reviewed met legislative prescribing requirements.  The GP has reviewed the medication charts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Ocean View are prepared and cooked on-site by a qualified cook.  All staff have attended food safety and hygiene training. The kitchen is clean and tidy and has an “A” grade environmental health grading certificate, issued by the council March 2017.  A food control plan has been registered with the council in July 2017, however evidence suggests it has not been implemented, and this requires attention.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menu in place.  Dietary needs are known with individual likes and dislikes accommodated.  Dietary requirements, cultural and religious food preferences are met.  Additional or modified foods are also provided by the service.  Special diets include gluten free, vegetarian and low fat/low salt.  Staff were observed assisting residents with their meals and drinks in the rest home dining room.  Resident meeting minutes along with direct input from residents, provide resident feedback on the meals and food services.  Residents and family members interviewed were satisfied with the food.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Stores in the pantry are minimal, and reordering is three days away. The cook verifies there will be enough food for the next three days.  Good supplies of meat, vegetables, bread, eggs and milk are sighted. Food is allocated and catered for as per the menu.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interventions sighted around the required management of resident diverse needs, including specific medical needs. When a resident's condition alters, the clinical nurse manager initiates a review and if required, a GP consultation. There is evidence that family members were notified of any changes to their relative’s health including, accident/incidents, infections, health professional visits and changes in medications.  Discussions with families and notifications are documented in the resident file.  A previous corrective action request around residents with high risk of falling having minimal falls prevention management documented in the care plan has been addressed, and sensor mats are available and in use.  Managing residents with behaviours that challenge was not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The respite resident had a short-term care plan in place that was reflective of current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all current wounds and skin tears. There were no pressure injuries on the day of audit. There was a range of equipment readily available to minimise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Residents are weighed monthly or more frequently if weight is of concern.  Nutritional requirements and assessments are completed on admission identifying resident nutritional status and preferences.  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recreation officer who plans and implements the activities programme at the rest home. The activity plan is provided on a Monday to Friday between 09:30 and 15:30. An activity assessment and plan is completed on admission in consultation with the resident/family and reviewed six monthly or as residents needs change. The activity plan in place is in line with the interests of the residents who are participating.  There is a variety of activities within the facility available to residents if required. Interviews with six residents revealed four residents preferred to stay in their rooms and not be involved in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One of those residents stated, “more community involvement would be nice”.  A phone interview with the activity officer identified over the winter a lot of outings were cancelled due to weather and the absence of a budget for activities limited the resources available to meet resident’s needs.  A facility van is available for outings however getting in and out of the van is a problem for some residents. Residents are encouraged to maintain links with the community, and residents often go out with families or down to the local shop.  Residents and families have the opportunity at residents’ meetings to feedback on the activity programme. Meeting minutes verifies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CNM within three weeks of admission.  Long-term lifestyle plans, with the exception of those mentioned (link 1.3.3.3) have been reviewed at least six-monthly or earlier for any health changes.  The written evaluation documents the residents’ progress against identified goals.   The GP reviews the residents every three months (link 1.3.3.3).  Ongoing nursing evaluations occur as indicated and are documented within the progress notes.  Changes are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 View has a current building warrant of fitness which expires on 2 June 2018.  The fire protection system was upgraded in November 2016 and a code of compliance was sighted.  The replacement of three fire extinguishers has not been attended to.  Ongoing electrical upgrades have been attended to and electrical certificates of compliance for this work has been sighted.  A previous corrective action around the electric chair between two floors remains in place. There is a maintenance person, who is called in to do things as needed. Up to date testing and tagging was occurring and hot water temperatures were being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that is documented.  A previous corrective action requiring the IPC to be reviewed annually has been addressed, and was reviewed October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Ocean View’s infection control manual.  Monthly infection data is collected for all infections based on signs and symptoms of infection.  Short-term care plans are used.  Surveillance is appropriate to that recommended for long-term care facilities, with infection definitions reflecting a focus on symptoms rather than laboratory results.  When an infection is identified, a record of this and management is documented in the residents’ clinical records and on infection reporting form.  New infections and any required management plan are discussed at handover, to ensure early intervention occurs. The IPC nurse reviews all reported infections.  </w:t>
            </w:r>
          </w:p>
          <w:p w:rsidR="00EB7645" w:rsidRPr="00BE00C7" w:rsidP="00BE00C7">
            <w:pPr>
              <w:pStyle w:val="OutcomeDescription"/>
              <w:spacing w:before="120" w:after="120"/>
              <w:rPr>
                <w:rFonts w:cs="Arial"/>
                <w:b w:val="0"/>
                <w:lang w:eastAsia="en-NZ"/>
              </w:rPr>
            </w:pPr>
            <w:r w:rsidRPr="00BE00C7">
              <w:rPr>
                <w:rFonts w:cs="Arial"/>
                <w:b w:val="0"/>
                <w:lang w:eastAsia="en-NZ"/>
              </w:rPr>
              <w:t>A gastrointestinal outbreak occurring three days prior to and on the day of audit, was managed appropriately.  The ministry of health, DHB and public health were notified.  Appropriate processes were implemented and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Enablers are assessed as required for maintaining safety and independence and are used voluntarily by the residents.  On the day of audit, the service had one resident using a restraint (lap belt) due to risk of seizures.  This was well documented in the care plan. There were no residents using an enabler.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4891"/>
        <w:gridCol w:w="3103"/>
        <w:gridCol w:w="26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management system in place that schedules the audits and monitoring required.  Not all scheduled monitoring of audits had been completed.    Data collected for quality and risk management purposes is not always analysed with results communicated to staff.  Data is not consistently analysed to identify areas for improvements.  This continues to remain an area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(i)Eight out of 28 internal audits reviewed had not been completed as per the schedule. ii) Data collected for quality and risk management purposes is not always analysed with results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scheduled audits and monitoring is completed. ii) Ensure that data collected is analysed and shared with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audit and monitoring results are less than the expected standard, corrective action plans (CAPs) are developed for areas requiring improvement. The facility manager advised that once a corrective action plan has been implemented the corrective action plan is reviewed and then signed off as completed by the facility manager.  Not all corrective action plans sighted had been reviewed or signed off by the facility manager and this remains an area for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out of the thirteen internal audits that required corrective action plans had not been reviewed or signed off as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corrective action plans are reviewed and signed off once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be completed to validate the individual’s qualifications, experience and veracity.  However, signed job descriptions, and up-to-date annual performance appraisal continue to not be available in all five staff files reviewed and this remains an area for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staff files have a signed job description and an up-to-date annual performance appraisal on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staff files have a signed job description and an up-to-date annual performance appraisal on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annual education planner that has scheduled education to cover the requirements of the ARRC contract.  Since the previous audit advocacy and cultural awareness has been provided, however not all mandatory topics outlined on the schedule have been delivered in the past two years. This finding remains open and an area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Education has not been provided in the past two years for the following mandatory training, care planning, nutrition/hydration, end of life, communication, skin integrity/pressure area, abuse/neglect, spirituality/counselling, sexuality/intimacy, wound care and the aging process. </w:t>
            </w:r>
          </w:p>
          <w:p w:rsidR="00EB7645" w:rsidRPr="00BE00C7" w:rsidP="00BE00C7">
            <w:pPr>
              <w:pStyle w:val="OutcomeDescription"/>
              <w:spacing w:before="120" w:after="120"/>
              <w:rPr>
                <w:rFonts w:cs="Arial"/>
                <w:b w:val="0"/>
                <w:lang w:eastAsia="en-NZ"/>
              </w:rPr>
            </w:pPr>
            <w:r w:rsidRPr="00BE00C7">
              <w:rPr>
                <w:rFonts w:cs="Arial"/>
                <w:b w:val="0"/>
                <w:lang w:eastAsia="en-NZ"/>
              </w:rPr>
              <w:t>ii) Where staff attendance numbers have been low at mandatory education sessions provided, no follow-up education or training has been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 education schedule is fully implemented and education is provided to cover all contractual and legal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 process is put in place to ensure that all staff attend mandatory education and where attendance is low an education follow-up plan is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system to administer medications, however when the GP is away the other GPs do not know how to use it, and resort to a manual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prescription goes to the pharmacy, the pharmacy fills the prescription and provides the facility with a pharmacy generated signing sheet, from which the facility administers the medication. There is no signed authorisation by the GP to guide administration by the staff of Ocean View. </w:t>
            </w:r>
          </w:p>
          <w:p w:rsidR="00EB7645" w:rsidRPr="00BE00C7" w:rsidP="00BE00C7">
            <w:pPr>
              <w:pStyle w:val="OutcomeDescription"/>
              <w:spacing w:before="120" w:after="120"/>
              <w:rPr>
                <w:rFonts w:cs="Arial"/>
                <w:b w:val="0"/>
                <w:lang w:eastAsia="en-NZ"/>
              </w:rPr>
            </w:pPr>
            <w:r w:rsidRPr="00BE00C7">
              <w:rPr>
                <w:rFonts w:cs="Arial"/>
                <w:b w:val="0"/>
                <w:lang w:eastAsia="en-NZ"/>
              </w:rPr>
              <w:t>In addition, residents requiring a change in their warfarin dose by INR result, do not have this updated electronically when the GP is away. The facility administers the change in dose, based on the lab result faxed to them.</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CNM and FM, states the GP says the other GPs have been trained, but the electronic system continues to not be used when the GP is on leave.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(i)Twelve electronic medication charts reviewed. Two had not been updated and included pharmacy generated signing sheets.  The pharmacy generated signing sheets were followed by staff, there was no signed authorisation by the GP to guide administration by the staff of Ocean View.  (ii)One of two warfarin charts had not been updated electronically and staff were administering based on the lab result faxed.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medication is administered from GP signed medication charts either electronically or hard-copy; (ii) Ensure the required warfarin dosage for administration is signed by the GP.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describes procedures around self-medicating, however one resident self-medicating had no documentation to reflect resident competency to self-administer has been assessed.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who is self-administering medication has no documentation to verify resident’s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self-medicating are regularly assessed as competent to self-administer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has been registered with the council in July 2017, however the following evidence demonstrates it has not been implemented.  Fridge and freezer temperatures are monitored in the kitchen, however there is no evidence of monitoring within the past month.  Cooked meat temperatures are monitored daily.  A kitchen cleaning schedule is in place, however there is no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build-up of ice and food in the freezer is indicative of it needing defrosting and the cook is unable to say when this last occurred.  A number of dry food items are noted to be past their use by date and some items in the fridge have not been dated.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(i)There is no documented evidence that fridge and freezer temperatures have been monitored the last month; (ii) while the kitchen was visually sited as clean, the cleaning checklist had not been signed as completed. (ii) Ensure all food in the fridge is dated and expired food removed. Since the audit the service has provided evidence that cleaning schedules and monitoring are now being documented as completed and monitored.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safe food handling practices are consistently maintained in the kitchen.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sampled identified that there was no consistent documentation verifying the GP had seen the resident within 48 hours of admission, monthly or three-monthly. There was no verification the resident was stable and able to be reviewed three monthly. The RN interviewed verified the residents were seen within 48 hours of admission and three-monthly GP reviews were completed.  A schedule is sighted that records when visits are made and due.  Resident interviews verify frequent GP visits, with no hesitation if they are unwell. The clinical nurse manager was unaware of the contractual requirement for monthly visits, unless the resident is deemed stable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clinical nurse manager and the facility manager both make reference that the GP frequently is unable to visit the rest home and residents are taken to the medical centre, often having to wait a long time to be seen. The nurse accompanying the resident is given verbal advice for management of the resident, but clinical records from the GP are often not forthcoming despite ongoing requests.  </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assessments were sighted in the files reviewed of ARRC residents, however, not all interRAI assessments had not been reviewed at least 6 monthly. Three of the five long-term files reviewed had long-term care plans in place within three weeks of admission.  Interviews with the clinical nurse manager confirmed one was in the process of being completed, whilst care for the other resident was being guided by the care plan from a previous placement until it could be completed.  Both residents had been admitted over three months prior.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(i)In five long-term resident files reviewed identified that there was no consistent documentation verifying the GP had seen the resident within 48 hours of admission, monthly or three-monthly</w:t>
            </w:r>
          </w:p>
          <w:p w:rsidR="00EB7645" w:rsidRPr="00BE00C7" w:rsidP="00BE00C7">
            <w:pPr>
              <w:pStyle w:val="OutcomeDescription"/>
              <w:spacing w:before="120" w:after="120"/>
              <w:rPr>
                <w:rFonts w:cs="Arial"/>
                <w:b w:val="0"/>
                <w:lang w:eastAsia="en-NZ"/>
              </w:rPr>
            </w:pPr>
            <w:r w:rsidRPr="00BE00C7">
              <w:rPr>
                <w:rFonts w:cs="Arial"/>
                <w:b w:val="0"/>
                <w:lang w:eastAsia="en-NZ"/>
              </w:rPr>
              <w:t>(ii) In four ARCC resident files reviewed, there was no documentation to verify that the resident was stable and able to be reviewed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(iii) Two of the five long-term resident files reviewed had no long-term care plan (LTCP) in place within three weeks of admission or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Two of four ARCC residents reviewed had previous interRAI assessments which had not been reviewed within the previous twelve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resident files reflect GP records on admission and monthly on three monthly; (ii) Ensure GP records identify that whether the resident is to be seen monthly or three monthly; (iii) Ensure long-term residents have a LTCP in place within three weeks; (iv) Ensure ARCC residents have an interRAI assessment reviewed at least 6 monthly or when needs change.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the five long-term resident files reviewed identified that interventions to manage residents’ current needs was comprehensive.  Two of six residents identified high risk of falls-with interventions in place to minimise.  Falls management were well documented for at risk residents and this is an improvement on previous audit.  However, two residents who display episodes of challenging behaviour and have a monitoring form in place to monitor the frequency of these episodes, had no behaviour management plan in place to guide staff on how to best manage these events.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with episodes of challenging behaviour have no behaviour management plan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with behaviours that challenge have plans in place to guide staff in managing that behaviour.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previous requirement for an electric chair operating between the two floors remains in place. The requirement was for it to be tested yearly, it has been tested in April 2016, and meets the standards, however has not been tested since. The electric chair is not being used at this time.  An inspection of fire equipment in March 2017, identified three fire extinguishers that need replacing and cannot be guaranteed to operate as required if not replaced. These have not at this stage been replaced.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electric chair requires regular testing as per manufacturers specifications and three fire extinguishers require replacing.  Since the draft report the service has provided documented evidence that the electric chair was serviced 3/10/17 and the three fire extinguishers replaced 9 October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electric chair meets safety guidelines and fire extinguishers have been replaced.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Capital Residential Care Limited - Ocean View Residential Care</w:t>
    </w:r>
    <w:bookmarkEnd w:id="58"/>
    <w:r>
      <w:rPr>
        <w:rFonts w:cs="Arial"/>
        <w:sz w:val="16"/>
        <w:szCs w:val="20"/>
      </w:rPr>
      <w:tab/>
      <w:t xml:space="preserve">Date of Audit: </w:t>
    </w:r>
    <w:bookmarkStart w:id="59" w:name="AuditStartDate1"/>
    <w:r>
      <w:rPr>
        <w:rFonts w:cs="Arial"/>
        <w:sz w:val="16"/>
        <w:szCs w:val="20"/>
      </w:rPr>
      <w:t>22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