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Manor Limited - Ranfurly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Ranfurly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2017</w:t>
      </w:r>
      <w:bookmarkEnd w:id="7"/>
      <w:r w:rsidRPr="009418D4">
        <w:rPr>
          <w:rFonts w:cs="Arial"/>
        </w:rPr>
        <w:tab/>
        <w:t xml:space="preserve">End date: </w:t>
      </w:r>
      <w:bookmarkStart w:id="8" w:name="AuditEndDate"/>
      <w:r w:rsidR="00A4268A">
        <w:rPr>
          <w:rFonts w:cs="Arial"/>
        </w:rPr>
        <w:t>3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Ranfurly Manor Ltd operates two privately owned aged care facilities in the Manawatu. The Director also owns Eileen Mary Age Care LTD in central Hawke’s Bay. Ranfurly Residential Care Centre is one of these and is based in Fielding.</w:t>
      </w:r>
    </w:p>
    <w:p w:rsidRPr="00A4268A">
      <w:pPr>
        <w:spacing w:before="240" w:line="276" w:lineRule="auto"/>
        <w:rPr>
          <w:rFonts w:eastAsia="Calibri"/>
        </w:rPr>
      </w:pPr>
      <w:r w:rsidRPr="00A4268A">
        <w:rPr>
          <w:rFonts w:eastAsia="Calibri"/>
        </w:rPr>
        <w:t>Ranfurly Residential Care Centre provides rest home, hospital and dementia level care for up to 157 residents. A general manager has oversight of all three facilities, and is based at Ranfurly. The service is managed by a facility manager with a care manager as a direct report.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general practitioners.  </w:t>
      </w:r>
    </w:p>
    <w:p w:rsidRPr="00A4268A">
      <w:pPr>
        <w:spacing w:before="240" w:line="276" w:lineRule="auto"/>
        <w:rPr>
          <w:rFonts w:eastAsia="Calibri"/>
        </w:rPr>
      </w:pPr>
      <w:r w:rsidRPr="00A4268A">
        <w:rPr>
          <w:rFonts w:eastAsia="Calibri"/>
        </w:rPr>
        <w:t xml:space="preserve">This audit has resulted in one area for improvement, relating to all required supports being included in residents’ plans. Improvement has been made in relation to the use of interRAI assessments for all residents at entry and when reassessments are due, as identified at the provider’s previous certification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provided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A complaints register is maintained with complaints resolved in line with the requirements of Right 10 of the Code of Health and Disability Services Consumers’ Rights.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owner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and a designated general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two diversional therapists,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supported by staff with food safety qualifications. The kitchen was well organised, clean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Code of Compliance for the facility. Ranfurly is a purpose-built facility, appropriate for the needs of its residents. It has been built on one level with fixtures and fittings which promote independence and mobility.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to guide the use and minimisation of restraints and enabling equipment. A small number of residents were using enablers during the audit visit, all with their consent. A managed process is in place to oversee and monitor the use of this equipment.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service feedback policies and form meet the requirements of Right 10 of the Code.  Information on the complaint process is provided to residents and families on admission, and is accessible within the facility. Those interviewed knew how to raise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manages all complaints and maintains the complaints register. This was reviewed with both the facility manager and general manager. Since the last onsite audit there has been an increase in the number of recorded complaints. In 2015 six complaints were recorded for the year. In 2016 18 complaints were recorded and to date in 2017 14 complaints are recorded. Review of the register shows that residents and family members are making complaints verbally, in writing, and using the Service Feedback Form. This is a change over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random sampling of complaints from 2017 was reviewed. This demonstrated that actions have been taken, through to an agreed resolution, are documented and completed within the required timeframes.  Where required, action plans showed follow up and improvements have been made where this was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the Health and Disability Commissioner, however several complaints have been made through the local district health board (DHB). As well as the random sample, two of the complaints to the DHB were reviewed in detail and in particular follow-up actions which were required by the portfolio manager.  Progress is being made to undertake the training and required staff briefings.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 if a resident or family member raises a complaint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during this unannounced surveillance audit described being kept well informed about any changes to their, or their relative’s health status. Family confirmed they were advised in a timely manner about any incidents or accidents and the outcomes of regular and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Evidence of related training was sighted and confirmed through interview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staff to access interpreter services. Staff reported this is not currently required as there are no residents who use English as a second language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June 2017- June 2018 business plan which outlines the purpose, values, scope, direction and goals of the organisation. The document describes annual objectives and the associated actions. A sample of monthly management meeting minutes showed adequate information to monitor performance is reported and recorded. This includes occupancy, staffing, emerging issues and risks, and links with a range of other meetings held which monitor operational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is a registered nurse (RN) with experience as a care manager and acting facility manager, prior to taking up this role at Ranfurly Residential Care Centre in May 2016. She has completed management training, has a Professional Development and Recognition Programme (PDRP) at Level 3 and a Post-graduate Diploma in Nursing. The facility manager reports to the Ranfurly Manor general manager, who has oversight of the three facilities which make up the Ranfurly Manor group. The GM is also a RN who maintains her practising certificate and has experience managing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are defined in job descriptions for both the general and facility manager roles.  At interview, both managers demonstrated their knowledge of the sector, regulatory and reporting requirements and the contracts held by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their DHB, the Ministry of Health and the Accident Compensation Corporation (ACC) for Young People with Disabilities (three), respite, long term chronic health conditions, day care, palliative care, health recovery beds, ACC serious injury clients).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157 available beds across Ranfurly. On the days of audit 134 residents were receiving services. There are 53 apartments with a total of 63 beds (there are 10 double apartments and 43 single) which residents enter with an occupational right agreement. Residents are able to receive rest home or hospital level care in these apartments, although not all apartment residents may be assessed as requiring care at any one time. On the day of the audit 44 apartment residents were receiving rest home level care.  There are a total of 74 dual use beds. On the day of audit 70 residents were receiving hospital level care. The dementia unit currently accommodates a maximum of 20 residents. On the day of audit 20 residents were in the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has a planned quality and risk system that is based on continuous quality improvement principles. This includes the control and regular review of policies and procedures, reporting and management of adverse events including complaints and clinical incidents, regular meetings with residents and a process for gaining feedback on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objectives in the business plan. Information is reported and discussed at a range of regular meetings, including the management team meeting, quality and health and safety committees, team leaders’ meetings, residents’ meetings and staff meetings. This included internal audits. Clinical audits are overseen by the care manager, including care plan monitoring and interRAI assessment completion. All other audits are overseen by the RN clinical and quality support, ranging from cleaning and laundry services, fire and health and safety checklists. Staff reported their involvement in the range of meetings appropriate to their role and quality and risk management activities. When needed, relevant corrective actions are developed and implemented to address any shortfalls. Examples were seen along with appropriate ongoing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is monitored regularly through a formal annual survey and the regular meetings. A range of meetings were reviewed and survey results from the 2017 survey were reviewed.  The most recent survey showed an overall high level of satisfaction from residents and family members who responded to the survey. Meeting minutes record individuals raising issues during meetings and these being tracked and reported back on through the meeting minutes. Issues reported in the most recent meeting prior to the audit included a lack of face clothes, more van outings and one person’s perception that their family were not able to visit frequently. The minutes record appropriate responses during the meeting and corrective actions recorded on the minutes document to continue to address these issues. Management meeting minutes record discussion of the ongoing issues after the residents’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described the processes for the identification, monitoring, review and reporting of risks and development of mitigation strategies. Business risks are identified in the business plan and monitored through the management reporting processes. The general manager and facility manager are both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AIM (accident/incident/medication event) form. A sample of AIM forms reviewed showed these were fully completed, all were investigated, action plans developed and actions followed-up in a timely manner.  Adverse event data is collated, analysed and reported to individual staff teams, the quality and health and safety committees, the qualified nurses meeting, the general staff meeting and the management team meeting. Depending on the meeting, different information is discussed and actions taken, appropriate to the meeting.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facility manager both described essential notification reporting requirements, including for pressure injuries. An example of a pressure injury notification was seen during the audit. (This had been reported several months prior to this audit.)  They advised there have been no notifications of significant events made to the Ministry of Health, other than pressure injury notifications,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practising certificates and/or professional registration, where required.   A sample of staff records reviewed confirmed the organisation’s policies are being consistently implemented and records are maintained. All personnel files reviewed were well organised and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their orientation process prepared them well for their role.  Staff records reviewed showed documentation of completed orientation, a performance review after a three-month period and annually thereafter.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 biennial basis and includes mandatory training requirements. Care staff have either completed or commenced a New Zealand Qualification Authority education programme to meet the requirements of the provider’s agreement with the District Health Board. A staff member is the internal assessor for the programme.  Staff working in the dementia care area have either completed, or are enrolled in, the required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trained and competent registered nurses who are maintaining their annual competency requirements to undertake interRAI assessments. Records reviewed demonstrated completion of the required training and completion of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staffing the facility with a mix of skilled staff members appropriate to the needs of residents, 24 hours a day, seven days a week. Staffing levels are adjusted to reflect the changing needs of residents over time. The roster reflected the availability of on call staff, qualified nurses and trained staff to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interviewed during the audit and a range of other staff members. The facility manager demonstrated a sound understanding of rostering requirements for a facility the size of Ranfurly. There is a process to monitor shift changes during a rostered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reporting that good access to advice is available when needed and that there are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absences.  At least one staff member on duty has a current first aid certificate and there is 24 hour/seven days a week RN coverage in the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self-administering inhalers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care manager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qualified chef and kitchen team and is in line with recognised nutritional guidelines for older people.  The menu follows summer and winter patterns and has just been reviewed by a qualified dietitian (July 2017).  Recommendations made included a reduction in the use of cream and an increase in protein, and are in the process of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control plan and registration issued by Manawatu District Council (19/1/2017).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and dissatisfaction with meals was verified by resident and family interviews, satisfaction surveys and resident meeting minutes. Evidence was sighted of ongoing initiatives being implemented to address residents’ dissatisfactions and improvements in the level of satisfaction was verified.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There was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All residents’ files reviewed have current interRAI assessments completed by one of 11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eight of twelve residents was consistent with their needs, goals and the plan of care, however the documentation in four of the files did not fully identify all aspects of the care required. Interviews verified this was a documentation issue, and the required care was verified as being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describing the required management of residents in the secure unit was comprehensive. Interventions around wound care, infections and continence issues was comprehensive with detailed management programmes to ensure each resident’s needs were met and residents comfort maintained. The management of continence concerns throughout the service included a comprehensive continence assessment and a documented management plan that also identified product use. Any requirements for extra continence products, beyond that identified in the assessment process, was available and accessible at all times. Where additional products was frequently required, a reassessment was undertaken, and a review of the plan undertaken, as verified by interviews, documentation and observation.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three GPs interviewed, verified that medical input is sought in a timely manner, that medical orders are followed, and care is of a satisfactory standard. Care staff stated that care at times was not well documented.  All care requirements or changes were updated in verbal handovers and documented on a handover sheet.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diversional therapists and runs over six of the seven days each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fortnightly visits by Plunket mothers and their babies, kindergarten visits three to four times a term, visits by the kapa haka group, the local school putting on a barbeque for the residents each year on daffodil day and attendance by entertainers each week.  The activities programme is discussed at the minuted residents’ and family meetings and indicated residents’ input is sought and responded to.  Resident and family satisfaction surveys demonstrated satisfaction with the programme and that information is used to improve the range of activities offered. Residents interviewed confirmed they find the programme meets their needs. Interviews with younger residents verified they are enabled to participate in activities going on in the community, and rarely engage in the activities provided in-house for other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dementia unit are specific to their needs and abilities of the people living there. Activities are offered at times when residents are most physically active and/or restless. This has resulted in a reduction of disruptive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consistently reviewed and progress evaluated as clinically indicated and according to the degree of risk noted during the assessment process. Other plans, such as wound, continence, behaviour and infection management plans are evaluated for effectiveness of the management strategies put in place, with changes implemented where required.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Certificate of Public Use / Code of Compliance for the facility.  Regular building and equipment checks associated with the facility were up to date and occur as scheduled. Evidence of these was reviewed during the audit along with the facility’s own monitoring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and management is documented in the residents’ clinical records and on an infection reporting form. New infections and any required management plan are discussed at handover, to ensure early intervention occurs. The infection control nurse reviews all reported infections.  Monthly surveillance data is collated, recorded in the resident management system and analysed to identify any trends, possible causative factors and required actions. Results of the surveillance programme are shared with staff via team meetings, quality meetings, staff meetings and at resident handovers, as was confirmed in meeting minutes sighted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Graphs are produced that identify trends for the current year, and comparisons against previous years and this is reported through all levels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norovirus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RN clinical and quality support provides support and oversight for enabler and restraint management in the facility. She has been the restraint coordinator and was interviewed due to the absence of the person currently holding this role.  She demonstrated a sound understanding of the organisation’s policies, procedures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enablers. All were the least restrictive equipment option and were being used voluntarily at their own request. A similar process is followed for the use of enablers as is used for restraints. Files for these three residents were reviewed, as well as the restraint and enabler register. Records were consistent. Interviews with the residents using enablers who were available, confirmed that they were satisfied with the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care staff members interviewed were able to describe the voluntary use of enablers and confirmed that only approved enablers are used at the facility.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5"/>
        <w:gridCol w:w="1280"/>
        <w:gridCol w:w="6986"/>
        <w:gridCol w:w="1845"/>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interviews and observation verified eight of twelve lifestyle care plans reviewed reflected the residents’ required support needs, however there were noticeable gaps in four of twelve care plans around the documented interventions required to meet the residents’ needs. This specifically related to residents with increased frailty and nutritional deficits requiring to be fed at meal times, residents identified at risk of developing PIs and residents noted to have lost weight in the past month.</w:t>
            </w:r>
          </w:p>
          <w:p w:rsidR="00EB7645" w:rsidRPr="00BE00C7" w:rsidP="00BE00C7">
            <w:pPr>
              <w:pStyle w:val="OutcomeDescription"/>
              <w:spacing w:before="120" w:after="120"/>
              <w:rPr>
                <w:rFonts w:cs="Arial"/>
                <w:b w:val="0"/>
                <w:lang w:eastAsia="en-NZ"/>
              </w:rPr>
            </w:pPr>
            <w:r w:rsidRPr="00BE00C7">
              <w:rPr>
                <w:rFonts w:cs="Arial"/>
                <w:b w:val="0"/>
                <w:lang w:eastAsia="en-NZ"/>
              </w:rPr>
              <w:t>There is minimal documentation in the care plan to identify the actions required to address these areas of residents’ need.  Interviews and observation verified the required support is being provided. Care staff verbalised documentation in care plans is not always consistent with the care the resident requires. This gap in documentation has recently been identified by the service’s internal audit programme and evidence was sighted of processes being implemented to address these deficits, and therefore minimise the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at times does not always describe the required support to meet the residents’ identified needs following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describes the required support needed to meet residents’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Manor Limited - Ranfurly Residential Care Centre</w:t>
    </w:r>
    <w:bookmarkEnd w:id="58"/>
    <w:r>
      <w:rPr>
        <w:rFonts w:cs="Arial"/>
        <w:sz w:val="16"/>
        <w:szCs w:val="20"/>
      </w:rPr>
      <w:tab/>
      <w:t xml:space="preserve">Date of Audit: </w:t>
    </w:r>
    <w:bookmarkStart w:id="59" w:name="AuditStartDate1"/>
    <w:r>
      <w:rPr>
        <w:rFonts w:cs="Arial"/>
        <w:sz w:val="16"/>
        <w:szCs w:val="20"/>
      </w:rPr>
      <w:t>2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