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Hillsborough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Hillsborough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August 2017</w:t>
      </w:r>
      <w:bookmarkEnd w:id="7"/>
      <w:r w:rsidRPr="009418D4">
        <w:rPr>
          <w:rFonts w:cs="Arial"/>
        </w:rPr>
        <w:tab/>
        <w:t xml:space="preserve">End date: </w:t>
      </w:r>
      <w:bookmarkStart w:id="8" w:name="AuditEndDate"/>
      <w:r w:rsidR="00A4268A">
        <w:rPr>
          <w:rFonts w:cs="Arial"/>
        </w:rPr>
        <w:t>8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Hillsborough provides rest home and hospital level care for up to 47 residents.  During the audit, there were 44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 xml:space="preserve">The care home manager is new to the service.  He is appropriately qualified and experienced and is supported by a clinical manager and quality manager (registered nurses).  </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use the service. Implementation is supported through the Bupa quality and risk management programme that is individualised to Hillsborough.  Quality initiatives are implemented which provide evidence of improved services for residents.</w:t>
      </w:r>
    </w:p>
    <w:p w:rsidRPr="00A4268A">
      <w:pPr>
        <w:spacing w:before="240" w:line="276" w:lineRule="auto"/>
        <w:rPr>
          <w:rFonts w:eastAsia="Calibri"/>
        </w:rPr>
      </w:pPr>
      <w:r w:rsidRPr="00A4268A">
        <w:rPr>
          <w:rFonts w:eastAsia="Calibri"/>
        </w:rPr>
        <w:t xml:space="preserve">The facility has embedded the InterRAI assessment protocols within its current documentation.  Bupa assessment booklets and care plan were individualised and comprehensively completed for all resident files reviewed.  </w:t>
      </w:r>
    </w:p>
    <w:p w:rsidRPr="00A4268A">
      <w:pPr>
        <w:spacing w:before="240" w:line="276" w:lineRule="auto"/>
        <w:rPr>
          <w:rFonts w:eastAsia="Calibri"/>
        </w:rPr>
      </w:pPr>
      <w:r w:rsidRPr="00A4268A">
        <w:rPr>
          <w:rFonts w:eastAsia="Calibri"/>
        </w:rPr>
        <w:t>This certification audit identified an improvement required in relation to performance appraisals.</w:t>
      </w:r>
    </w:p>
    <w:p w:rsidRPr="00A4268A">
      <w:pPr>
        <w:spacing w:before="240" w:line="276" w:lineRule="auto"/>
        <w:rPr>
          <w:rFonts w:eastAsia="Calibri"/>
        </w:rPr>
      </w:pPr>
      <w:r w:rsidRPr="00A4268A">
        <w:rPr>
          <w:rFonts w:eastAsia="Calibri"/>
        </w:rPr>
        <w:t>The service has achieved continued improvement ratings around meeting the cultural needs of residents, the information provided at entry, quality initiatives and infection control practices.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Bupa Hillsborough Rest Home and Hospital endeavours to ensure that care is provided in a way that focuses on the individual, values residents' quality of life and maintains their privacy and choice.  Staff demonstrated an understanding of residents' rights and obligations.  Residents receive services in a manner that considers their dignity, privacy and independence.  Written information regarding consumers’ rights is provided to residents and families.  Cultural needs are identified and comprehensively addressed.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day-to-day operations.  Goals are documented for the service with evidence of regular reviews.  A quality and risk management programme is in place.  Opportunities for improvements are identified and implemented.  </w:t>
      </w:r>
    </w:p>
    <w:p w:rsidRPr="00A4268A">
      <w:pPr>
        <w:spacing w:before="240" w:line="276" w:lineRule="auto"/>
        <w:rPr>
          <w:rFonts w:eastAsia="Calibri"/>
        </w:rPr>
      </w:pPr>
      <w:r w:rsidRPr="00A4268A">
        <w:rPr>
          <w:rFonts w:eastAsia="Calibri"/>
        </w:rPr>
        <w:t>Residents receive appropriate services from suitably qualified staff.  Staff recruitment is managed in accordance with good employment practice.  An orientation programme is in place for new staff.  An education and training plan is being implemented and includes in-service education and competency assessments. Registered nursing cover is provided twenty four hours a day, seven days a week.  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the provision of care and documentation at every stage of service delivery.  There is sufficient information gained through the initial support plans, specific assessments, and the care plans to guide staff in the safe delivery of care to residents.  The care plans are resident and goal orientated and reviewed every six months or earlier if required, with input from the resident/family as appropriate.  Files sampled identified that the integration of allied health and a team approach is evident in the overall resident file.  There is a three-monthly general practitioner review.  The activities person implements the activity programme to meet the individual needs, preferences and abilities of the residents.  Community links are maintained.  There are regular entertainers, outings and celebrations.  Medications are managed appropriately in-line with accepted guidelines.  Registered nurses and senior caregivers who administer medications have an annual competency assessment and receive annual education.  Medication charts are reviewed three-monthly by the general practitioner.  Residents' food preferences and dietary requirements are identified on admission and all meals are cooked on-site.  This includes consideration of any dietary preferences or needs.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warrant of fitness and an approved fire evacuation plan.  Rooms are single accommodation.  The home is warm and resident rooms are personalised.  Rooms have either ensuites or access to communal facilities.  There is a large central lounge area and a spacious dining room.  There are effective waste management systems in place and chemicals are stored safely.  The facility has a van available for transportation of residents.  Staff that transport residents hold current first aid certificates.  Activities occur throughout the facility.  Dedicated staff manage cleaning.  All laundry is managed off-site at a neighbouring Bupa facility.  There are systems in place for emergency management and there is at least three days of emergency supplies stored on-site.  There is a staff member on duty at all times with a current first aid certificate.  The facility is light and appropriately heated and ventilated.  The maintenance manager monitors internal temperatures.  There is a designated smoking area within the grounds.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are provided with training in restraint minimisation and challenging behaviour management.  On the day of audit there was one resident using restraint and three residents with an enabler.  Restraint management processes are being implemented.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Bupa Hillsborough has an infection control programme that complies with current best practice.  There is a dedicated infection control nurse who has a role description.  The infection control programme is reviewed annually.  Infection control education is provided at orientation and incorporated into the annual training programme.  Training records were sighted.  Education provided includes an evaluation of the session and content delivered.  Records of all infections are kept and provided to head office for benchmarking.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8"/>
        <w:gridCol w:w="1280"/>
        <w:gridCol w:w="102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staff (six caregivers, five registered nurses, the activity coordinator, the clinical manager and the care home manager),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obtained on admission were sighted in the seven residents’ files reviewed (one from the rest home and six from the hospital including one long-term support chronic health conditions, one on an ACC contract and on a DHB interim contract) were reviewed.  Advanced directives if known were on the residents’ files.  Resuscitation plans for competent residents were appropriately signed.  Copies of enduring power of attorney (EPOA)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confirmed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Seven resident files reviewed had a signed admission agreement, with the interim care agreement being made with the DHB on a DHB templated form.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are available at the entrance to the facility in a variety of languages.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and relative meetings are held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A record of all complaints received is maintained by the care home manager using a complaints’ register.  The complaints register reviewed included verbal and written complaints with evidence to confirm that complaints are being managed in a timely manner, including acknowledgement, investigation, meeting timelines, corrective actions when required, and resolutions.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made to the Minister of Health in January 2017 that also involved the DHB has been found to be unsubstantiated and closed.  Complaints to the DHB (June 2017) have been actioned and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and a suggestion box are placed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resident/family meetings.  All eleven residents (two rest home and nine hospital level) interviewed, reported that the residents’ rights are being upheld by the service.  Interviews with family (three hospital level)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Two Māori residents interviewed confirmed that Māori cultural values and beliefs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Māori cultural days and Te Reo phrases are included in the phrase book (link CI 1.1.6.2).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Bupa Hillsborough has a high number of residents from a variety of cultures residing at the service.  The required standard has been exceeded around meeting the cultural needs of these residents.  Cultural values and beliefs are discussed and incorporated into the residents’ care plans.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included the resident’s spiritual and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 hours a day.  A house GP visits the facility one day a week and an after-hour’s service is provided by another service.  The general practitioner (GP) reviews residents identified as stable every three months, with more frequent visits for those residents whose condition is not deemed stable.  The GP interviewed is satisfied with the level of care that is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on-site four hours per week and a full-time physiotherapy assistant is employed.  A dietitian is also available for consultations.  There is a regular in-service education and training programme for staff.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Bupa Hillsborough is benchmarked against other Bupa services.  If the results are above the benchmark, a corrective action plan is developed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developed and implemented a number of quality projects to improve services for residents.  These include (but are not limited to) a falls reduction programme, a project that has resulted in a decrease in medication errors and a programme to ensure more effective follow-up of clinical needs following incidents.</w:t>
            </w:r>
          </w:p>
          <w:p w:rsidR="00EB7645" w:rsidRPr="00BE00C7" w:rsidP="00BE00C7">
            <w:pPr>
              <w:pStyle w:val="OutcomeDescription"/>
              <w:spacing w:before="120" w:after="120"/>
              <w:rPr>
                <w:rFonts w:cs="Arial"/>
                <w:b w:val="0"/>
                <w:lang w:eastAsia="en-NZ"/>
              </w:rPr>
            </w:pPr>
            <w:r w:rsidRPr="00BE00C7">
              <w:rPr>
                <w:rFonts w:cs="Arial"/>
                <w:b w:val="0"/>
                <w:lang w:eastAsia="en-NZ"/>
              </w:rPr>
              <w:t>In 2016, their resident satisfaction survey was -19 net promoter score with a return rate of 68%. In 2017, they achieved a positive improvement to +25 with a slightly reduced return of 62%.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Twelve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(link CI 1.1.6.2).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Hillsborough Care Home provides hospital (geriatric and medical) and rest home level care for up to 47 residents.  They have a contract to provide interim care for up to six residents at any given time.  There were three rest home level residents and 41 hospital level residents at the time of the audit.  Hospital level residents included three on interim care contracts, one on a long-term support – chronic health conditions (LTS – CHC) contract and two funded by ACC.  All beds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Progress towards the achievement of annual goals (2017) for the facility has been reviewed by the care home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had been there for three weeks at the time of the audit and was in the process of undergoing orientation.  He is non-clinical and has considerable experience managing health services.  He is supported by a clinical manager/registered nurse (RN) who has been employed at the facility since March 2017, having previously worked at another Bupa facility.  The care home manager and clinical manager are supported by the Bupa operations manager who was the care home manager at Hillsborough until November 2016.  </w:t>
            </w:r>
          </w:p>
          <w:p w:rsidR="00EB7645" w:rsidRPr="00BE00C7" w:rsidP="00BE00C7">
            <w:pPr>
              <w:pStyle w:val="OutcomeDescription"/>
              <w:spacing w:before="120" w:after="120"/>
              <w:rPr>
                <w:rFonts w:cs="Arial"/>
                <w:b w:val="0"/>
                <w:lang w:eastAsia="en-NZ"/>
              </w:rPr>
            </w:pPr>
            <w:r w:rsidRPr="00BE00C7">
              <w:rPr>
                <w:rFonts w:cs="Arial"/>
                <w:b w:val="0"/>
                <w:lang w:eastAsia="en-NZ"/>
              </w:rPr>
              <w:t>The operations manager has maintained over eight hours annually of professional development activities related to managing an aged care service.  Training is planned for the care home manager and clinical manager, both of whom have recently completed/are completing orientation to the management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care home manager, the clinical manager covers the care home manager’s role with the support of the operations manager and the care home managers from other Bupa sites located in Auckland.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Bupa regional manager.  Discussions with the managers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areas,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There is evidence of corrective actions being communicated to all staff and being evaluated and signed-off by management when completed.  A satisfaction survey for 2017 demonstrated increased resident satisfaction from 2016.  Plans were developed to address areas the service felt could be improved.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meets monthly and identified hazards are discussed including how risks have been isolated or minimised.  Health and safety was evidenced to be consistently discussed as an agenda item in monthly staff meetings.  A health and safety representative was interviewed about the health and safety programme.  Risk management, hazard control and emergency policies and procedures are being implemented.  Hazard identification forms and a hazard register is in place.  There are procedures to guide staff in managing clinical and non-clinical emergencies.  All new staff and contractors undergo a health and safety orientation programme.  An employee health and safety programme (Bfit) is in place, which is linked to the overarching Bupa National Health and Safety plan.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 falls reduction project that has included the development of a local falls assessment tool, additional staff training and the purchase of additional equipment.  The project is ongoing and has resulted in a significant drop in the falls rate in the past two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Twelve accident/incident forms were reviewed.  Each event involving a resident reflected a clinical assessment and follow-up by a registered nurse.  Neurological observations are conducted for unwitnessed falls.  Data collected on incident and accident forms are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are aware of their requirement to notify relevant authorities in relation to essential notifications with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Seven staff files reviewed (one RN, one clinical manager, three caregivers, one activities coordinator and one cook) included a recruitment process (interview process, reference checking, police check), signed employment contracts, job descriptions and completed orientation programmes.  Not all files had a current performance appraisal.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Registered staff have had training in meeting the clinical needs of residents under the hospital (medical) aspect of the certification.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Eight registered nurses are employed and five have completed interRAI training.  There are implemented competencies for registered nurses including (but not limited to) medication, catheter care, wound management and syringe driver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 Monday – Friday and a clinical manager (RN) Monday – Friday.  RN cover is provided 24 hours a day, seven days a week.  RNs are supported by sufficient numbers of caregivers.  Separate cleaning staff are employed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For staffing purposes, the service is divided into two wings.  On morning shift, there are two registered nurses to cover the facility (one generally works in each wing).  On afternoon shift, one registered nurse works a full shift and one works until 9.00pm and there is one registered nurse on night shift.</w:t>
            </w:r>
          </w:p>
          <w:p w:rsidR="00EB7645" w:rsidRPr="00BE00C7" w:rsidP="00BE00C7">
            <w:pPr>
              <w:pStyle w:val="OutcomeDescription"/>
              <w:spacing w:before="120" w:after="120"/>
              <w:rPr>
                <w:rFonts w:cs="Arial"/>
                <w:b w:val="0"/>
                <w:lang w:eastAsia="en-NZ"/>
              </w:rPr>
            </w:pPr>
            <w:r w:rsidRPr="00BE00C7">
              <w:rPr>
                <w:rFonts w:cs="Arial"/>
                <w:b w:val="0"/>
                <w:lang w:eastAsia="en-NZ"/>
              </w:rPr>
              <w:t>Waikowhai wing (17 hospital residents and two rest home residents at the time of the audit) has two caregivers that work a full morning shift and one that works a short shift, one that works a full afternoon shift and one that works until 8.30pm.</w:t>
            </w:r>
          </w:p>
          <w:p w:rsidR="00EB7645" w:rsidRPr="00BE00C7" w:rsidP="00BE00C7">
            <w:pPr>
              <w:pStyle w:val="OutcomeDescription"/>
              <w:spacing w:before="120" w:after="120"/>
              <w:rPr>
                <w:rFonts w:cs="Arial"/>
                <w:b w:val="0"/>
                <w:lang w:eastAsia="en-NZ"/>
              </w:rPr>
            </w:pPr>
            <w:r w:rsidRPr="00BE00C7">
              <w:rPr>
                <w:rFonts w:cs="Arial"/>
                <w:b w:val="0"/>
                <w:lang w:eastAsia="en-NZ"/>
              </w:rPr>
              <w:t>Manakau wing (23 hospital residents and one rest home resident at the time of the audit) has two caregivers that work a full morning shift and two that work a short shift, and one that works a full afternoon shift and two that work until 8.30pm.</w:t>
            </w:r>
          </w:p>
          <w:p w:rsidR="00EB7645" w:rsidRPr="00BE00C7" w:rsidP="00BE00C7">
            <w:pPr>
              <w:pStyle w:val="OutcomeDescription"/>
              <w:spacing w:before="120" w:after="120"/>
              <w:rPr>
                <w:rFonts w:cs="Arial"/>
                <w:b w:val="0"/>
                <w:lang w:eastAsia="en-NZ"/>
              </w:rPr>
            </w:pPr>
            <w:r w:rsidRPr="00BE00C7">
              <w:rPr>
                <w:rFonts w:cs="Arial"/>
                <w:b w:val="0"/>
                <w:lang w:eastAsia="en-NZ"/>
              </w:rPr>
              <w:t>Two caregivers support the registered nurse overnight throughout the facility.  The facility is on one level and the two wings are adjacent to each other.</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care home manager take week about for on-call with the clinical manager providing clinical back-up when the care home manager is on-call.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Other residents or members of the public cannot view sensitive resident information.  Entries in records are legible, dated and signed by the relevant care staff.  Individual resident files demonstrate service integration with only medication charts held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into the service is facilitated in a competent, equitable, timely and respectful manner.  NASC assessments are required for entry to the service for aged care and LTS – CHC residents.  The service communicates with needs assessors and other appropriate agencies prior to the resident’s admission regarding the resident’s level of care requirements.  Pre-admission information packs include information on the services provided for resident and families.  An information booklet has been created (by families and staff) for all new residents and their families, giving information on the day, about life at Hillsborough.  The required standard has been exceeded around the information provided.  Residents and family members interviewed stated that they had received the information pack and had received sufficient information prior to and on entry to the service.  Admission agreements for long-term residents aligned with contractual requirements.  Exclusions from the service are included in the admission agreement.  Seven residents’ files (one from the rest home and six from the hospital including one long-term support chronic health conditions, one on an ACC contract and on a DHB interim contract) were reviewed.  All files sampled (except the ACC and interim care residents) had NASC approval and all had signed service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All relevant information is documented and communicated to the receiving health provider or service via the yellow envelope system.  A transfer form accompanies residents to receiving facilities.  Transfers reviewed (two residents via ambulance) to ADHB in June and July 2017 were appropriate and timely.  The GP interviewed stated RNs raised any change in condition or issues in an appropriate and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processes that describe medication management that align with accepted guidelines.  Medications are checked against the doctor's medication profile on arrival from the pharmacy by a RN.  Any errors by the pharmacy are regarded as an incident.  </w:t>
            </w:r>
          </w:p>
          <w:p w:rsidR="00EB7645" w:rsidRPr="00BE00C7" w:rsidP="00BE00C7">
            <w:pPr>
              <w:pStyle w:val="OutcomeDescription"/>
              <w:spacing w:before="120" w:after="120"/>
              <w:rPr>
                <w:rFonts w:cs="Arial"/>
                <w:b w:val="0"/>
                <w:lang w:eastAsia="en-NZ"/>
              </w:rPr>
            </w:pPr>
            <w:r w:rsidRPr="00BE00C7">
              <w:rPr>
                <w:rFonts w:cs="Arial"/>
                <w:b w:val="0"/>
                <w:lang w:eastAsia="en-NZ"/>
              </w:rPr>
              <w:t>Designated staff are listed on the medication competency register.  Staff responsible for medication administration are either a registered nurse or senior caregiver.  All RNs and senior caregivers had completed an annual medication competency and education.  Syringe driver competency and education has been completed by registered nurses annually via the hospice.</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medication management system in place.  Resident electronic medication charts are identified with demographic details and photographs.  The fridge where medications are kept, has a weekly temperature check.  Allergies or nil known are not identified on all sampled medication records.  The service documents adverse reactions and errors on incident/accident forms.</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round was observed at lunch time; all practice was appropriate.</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and process that describes self-administered medicines.  There is currently one resident who self-administers inhaler medications.  The resident’s competency is checked three-monthly and a record signed by the GP is kept on file.</w:t>
            </w:r>
          </w:p>
          <w:p w:rsidR="00EB7645" w:rsidRPr="00BE00C7" w:rsidP="00BE00C7">
            <w:pPr>
              <w:pStyle w:val="OutcomeDescription"/>
              <w:spacing w:before="120" w:after="120"/>
              <w:rPr>
                <w:rFonts w:cs="Arial"/>
                <w:b w:val="0"/>
                <w:lang w:eastAsia="en-NZ"/>
              </w:rPr>
            </w:pPr>
            <w:r w:rsidRPr="00BE00C7">
              <w:rPr>
                <w:rFonts w:cs="Arial"/>
                <w:b w:val="0"/>
                <w:lang w:eastAsia="en-NZ"/>
              </w:rPr>
              <w:t>Fourteen medication records (twelve hospital; two rest home) were reviewed and demonstrated medication profiles are legible, up-to-date and reviewed at least three-monthly by the GPs.  All as required medication charted included an indication for use.  Medication signing sheets were signed following administration.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cooked on-site and the head cook oversees all functions and provision of food.  A second cook and three kitchenhands provide cover seven days a week.  The head cook and kitchen staff stated that all staff have been trained in safe food handling.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large workable kitchen.  The kitchen and the equipment are well maintained.  Meals are plated in the kitchen and delivered straight to the main dining area.  A tray service is available and delivered via a hot box system to maintain correct food temperatures.  The four-weekly seasonal menu is varied and developed by a dietitian (last review completed April 2017).  Diets are modified as required.  There is a choice of foods and the kitchen can cater to specific requests if needed.  At interview, the head cook described that the RN completes each resident’s nutritional profile on admission with the aid of the resident and family.  Special diets are catered for and documented in the kitchen.  Food safety information and a kitchen manual are available in the kitchen.  Food served on the day of audit was hot and well presented.</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residents to express their likes and dislikes.  The residents interviewed spoke highly about meals provided and they all stated that staff ask them about their food preferences.  Equipment is available on an ‘as needed’ basis.  Residents requiring extra support to eat and drink are assisted, this was observed during lunch.</w:t>
            </w:r>
          </w:p>
          <w:p w:rsidR="00EB7645" w:rsidRPr="00BE00C7" w:rsidP="00BE00C7">
            <w:pPr>
              <w:pStyle w:val="OutcomeDescription"/>
              <w:spacing w:before="120" w:after="120"/>
              <w:rPr>
                <w:rFonts w:cs="Arial"/>
                <w:b w:val="0"/>
                <w:lang w:eastAsia="en-NZ"/>
              </w:rPr>
            </w:pPr>
            <w:r w:rsidRPr="00BE00C7">
              <w:rPr>
                <w:rFonts w:cs="Arial"/>
                <w:b w:val="0"/>
                <w:lang w:eastAsia="en-NZ"/>
              </w:rPr>
              <w:t>Fridge/freezer, end cooked and dishwasher temperatures are monitored.  Food in the fridge and chiller were covered and dated.  The kitchen is clean and all food is stored off the floor.  Chemicals are locked away.  Material safety datasheets are available.</w:t>
            </w:r>
          </w:p>
          <w:p w:rsidR="00EB7645" w:rsidRPr="00BE00C7" w:rsidP="00BE00C7">
            <w:pPr>
              <w:pStyle w:val="OutcomeDescription"/>
              <w:spacing w:before="120" w:after="120"/>
              <w:rPr>
                <w:rFonts w:cs="Arial"/>
                <w:b w:val="0"/>
                <w:lang w:eastAsia="en-NZ"/>
              </w:rPr>
            </w:pPr>
            <w:r w:rsidRPr="00BE00C7">
              <w:rPr>
                <w:rFonts w:cs="Arial"/>
                <w:b w:val="0"/>
                <w:lang w:eastAsia="en-NZ"/>
              </w:rPr>
              <w:t>Food audits are carried out as per the yearly audit schedule.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admission information policy.  The reasons for declining entry would be if the service is unable to provide the care required or there are no beds available.  Management communicate directly with the referring agencies and family/whānau as appropriate if entry was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nursing assessment and care plan is completed within 24 hours of admission.  Personal needs, outcomes and goals of residents are identified.  Resident files sampled demonstrated that a range of assessment tools were completed in resident files and reviewed at least six monthly including (but not limited to); falls, pressure areas and nutrition.  Continence and pain are assessed on admission and as needed and weights and general observations are monitored on a weekly to monthly basis dependant on needs.  InterRAI assessments were completed and reviewed for aged care and the LTS – CHC residents.  Assessments are conducted in an appropriate and private manner.  </w:t>
            </w:r>
          </w:p>
          <w:p w:rsidR="00EB7645" w:rsidRPr="00BE00C7" w:rsidP="00BE00C7">
            <w:pPr>
              <w:pStyle w:val="OutcomeDescription"/>
              <w:spacing w:before="120" w:after="120"/>
              <w:rPr>
                <w:rFonts w:cs="Arial"/>
                <w:b w:val="0"/>
                <w:lang w:eastAsia="en-NZ"/>
              </w:rPr>
            </w:pPr>
            <w:r w:rsidRPr="00BE00C7">
              <w:rPr>
                <w:rFonts w:cs="Arial"/>
                <w:b w:val="0"/>
                <w:lang w:eastAsia="en-NZ"/>
              </w:rPr>
              <w:t>Assessment process and the outcomes are communicated to staff at shift handovers, via communication books, progress notes, initial assessment and care plans.  Residents and family interviewed, stated they were kept informed and involved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described the support required to meet the resident’s goals and needs and identified allied health involvement under a suite of template headings.  The interRAI assessment process informs the development of the resident’s care plan.  Service delivery plans demonstrated service integration.  Assessments and care plans are detailed and include input from allied health including gerontology specialists, dietitians, DHB nurse specialist, physiotherapy and podiatry.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family/whānau interviewed, reported that they are involved in the care planning and review process.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services for residents requiring hospital and rest home level of care.  Care plans were detailed and met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files sampled, wound care plans, falls management, diabetes specific plans, nutrition management (including specific PEG cares), pain management and behaviour management plans were evident.  The care being provided is consistent with the needs of residents, this was evidenced by discussions with residents, family and staff.  The GP interviewed stated the facility applied changes of care advice immediately and was highly complementary about the quality of service delivery provided.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referrals to specialist services such as podiatry, physiotherapy, nutritional, district nurses and DHB nurse specialists.  There is also evidence of community contact.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wound management plans were in place for eleven residents with wounds.  One resident has non-facility acquired pressure areas on both heels.  All wounds have been assessed, reviewed and managed within the stated timeframes.  On interview, the RNs and the clinical manager stated that they could access the DHB wound or continence specialist nurse if they assessed that this was required.  There was evidence in files of the wound specialist referrals.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Hillsborough has a full time (37.5 hours per week) activities coordinator working Monday to Friday.  There are five volunteers who assist with some activities.  All recreation/activities assessments and reviews are up-to-date.  On the day of audit, residents were observed being actively involved with a variety of activities in the main lounge.  Residents have a comprehensive assessment completed over the first few weeks after admission, obtaining a complete history of past and present interests, career and family.  The activities coordinator interviewed stated that they participate in multidisciplinary meetings.  Activities are age appropriate and have been comprehensively planned.  Activities provided are meaningful and reflect ordinary patterns of life.  Activities include entertainers, crafts, exercise, singing groups, movies and weekly van outings to sites of resident interest (includes shopping trips and visits to local community connections).  There are also visits from community groups.  There is a garden group with access to an enclosed garden.  There is a spa beauty room with a nail therapy and hand massage trolley, hairdressing and doll therapy corner.  There is a theme allocated monthly and activities are planned around the theme.  There is a cultural ‘language phrase book’ at front reception with common phrases in different languages for all people to learn and to refer to where necessary (link 1.1.6.2 CI).  At the time of audit, the facility was celebrating ‘Māori language week’.  There is a ‘smile annual plan’ for all staff.  There is an internal company magazine ‘from the heart’ shared by 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family members interviewed, stated that activities are appropriate and varied enough for the residents.  All eleven residents interviewed stated they were happy with the activities available and are given a choice regarding attendance.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There was at least a three-monthly review by the GP.  All changes in health status were documented and followed-up.  Since 1 July 2015, reassessments have been completed using interRAI LTCF for all residents who have had a significant change in health status.  Short-term care plans sighted were evaluated and resolved or added to the long-term care plan if the problem is ongoing, as sighted in resident files sampled.  The four LTCPs requiring review (two new admissions and one interim care resident had not been at the facility long enough to require review), evidenced at least six-monthly care plan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forms and documentation are maintained on resident files.</w:t>
            </w:r>
          </w:p>
          <w:p w:rsidR="00EB7645" w:rsidRPr="00BE00C7" w:rsidP="00BE00C7">
            <w:pPr>
              <w:pStyle w:val="OutcomeDescription"/>
              <w:spacing w:before="120" w:after="120"/>
              <w:rPr>
                <w:rFonts w:cs="Arial"/>
                <w:b w:val="0"/>
                <w:lang w:eastAsia="en-NZ"/>
              </w:rPr>
            </w:pPr>
            <w:r w:rsidRPr="00BE00C7">
              <w:rPr>
                <w:rFonts w:cs="Arial"/>
                <w:b w:val="0"/>
                <w:lang w:eastAsia="en-NZ"/>
              </w:rPr>
              <w:t>There is information available pre-admission and in the admission documentation on the health and disability code of rights, advocacy, health practitioners code of conduct and informed consent.  Follow-up occurs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policies and procedures for the disposal of waste and hazardous material.  There is an accident/incident system for investigating, recording and reporting all incidents and forms are completed by staff.  There were no incident/accident reports reviewed involving waste, infectious material, body substances or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plan to respond to significant waste or hazardous substance management. </w:t>
            </w:r>
          </w:p>
          <w:p w:rsidR="00EB7645" w:rsidRPr="00BE00C7" w:rsidP="00BE00C7">
            <w:pPr>
              <w:pStyle w:val="OutcomeDescription"/>
              <w:spacing w:before="120" w:after="120"/>
              <w:rPr>
                <w:rFonts w:cs="Arial"/>
                <w:b w:val="0"/>
                <w:lang w:eastAsia="en-NZ"/>
              </w:rPr>
            </w:pPr>
            <w:r w:rsidRPr="00BE00C7">
              <w:rPr>
                <w:rFonts w:cs="Arial"/>
                <w:b w:val="0"/>
                <w:lang w:eastAsia="en-NZ"/>
              </w:rPr>
              <w:t>All chemicals sighted were appropriately stored in locked areas.  Chemicals are appropriately labelled.  Sufficient gloves, aprons, and goggles are available for staff.  Infection control policies state specific tasks and duties for which protective equipment is to be worn.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in December 2017.  Reactive and preventative maintenance is documented and implemented.  Fire equipment checks are conducted by an external fire safety contractor.  When an issue requiring maintenance is noticed, the maintenance person deals with the issue on the same day.  The maintenance person is available from Monday to Friday.  External contractors are engaged to complete work as required.  A sample of hot water temperatures are taken monthly and these are maintained at (or just below) 45 degrees.  When temperatures were observed to be outside acceptable range, corrective actions were initiated and corrected.  Electrical testing and tagging had been completed February 2017.  Medical equipment had been tested April 2017.  The facility's amenities, fixtures, equipment and furniture are appropriate for the level of service contracted.  There is sufficient space to allow residents to move around the facility freely.  The hallways have hand rails and are wide enough for appropriate traffic.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wings.  All bedrooms have ensuites with the exception of seven rooms in one wing. There are adequate communal toilets/showers available.  Each bathroom has a hand basin and communal toilets have privacy locks on the door.  There are separate staff/visitors’ toilets.  Residents interviewed report their privacy is maintained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all bedrooms for residents and staff.  Caregivers confirmed they could move freely to provide cares and there is enough space to move mobility equipment safely.  Doorways into residents' rooms and communal areas are wide enough for wheelchair, trolley and bed access.  Eleven residents interviewed stated they are happy with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spacious main lounge and dining area in the hospital.  There are smaller lounge areas within the facility.  Residents were seen to be moving freely throughout the facility.  Residents can move freely from their bedrooms to communal rooms and the outside.  Internal and external doorways are level with pavements, which allows wheelchair access.  Activities occur in the main lounge and residents can access their rooms for privacy when required.  Seating and space is arranged to allow both individual and group activities to occur.  Residents stated that they are happy with the layout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cleaning policies and processes.  There are sluice rooms in each wing for the disposal of soiled water or waste.  On the day of the audit, these were locked when unattended.  There are three part-time cleaners covering seven days a week.  Cleaning trolleys are well equipped and stored in locked cleaners’ cupboards.  Cleaning schedules are maintained.  All laundry is completed off-site.  There is one laundry staff member employed full-time who is vital to the service in sorting and delivering clean laundry to individual residents.  Cleaners and the laundry attendant have attended chemical safety training.  Material safety datasheets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 is available in the laundry, cleaning and sluice room.  Staff were observed to be wearing appropriate protective wear.  Residents and family members interviewed were happy with the cleaning and laundry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Fire evacuation practice documentation was sighted.  A contracted service provides checking of all facility equipment including fire equipment.  Fire training, emergency evacuation and security situations are part of orientation of new staff and ongoing training.  Emergency equipment is available.  A civil defence cupboard is available (sighted).  There are spare blankets and alternative cooking methods if required (viewed).  There is sufficient water stored in a tank and water bottles to ensure for three litres per day for three days per resident and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at least one staff member on duty at all times with a first aid certificate.  All RNs have completed first aid training.  The NZ Fire Service had approved the evacuation scheme.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all communal areas, toilets, bathrooms and residents’ rooms.  Security policies and procedures are documented and implemented by staff.  Visitors and contractors sign-in when visiting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ceiling heating throughout communal areas and corridors.  Each bedroom has an individual heating panel.  All communal rooms and bedrooms are well ventilated and light.  All bedrooms and communal areas have at least one external window.  The indoor temperatures were pleasant and warm.  Eleven residents interviewed stated the temperature of the facility is comfortable at all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programme and its content and detail, is appropriate for the size, complexity, and degree of risk associated with the service.  The scope of the infection control programme policy and infection control programme description is available.  There is a job description for the infection control nurse and clearly defined guidelines.  There is an established and implemented infection control programme that is linked into the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committee and the governing body is responsible for the development of the infection control programme and its review.  The programme is reviewed annually at an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IC meeting and the RN and staff meetings also include a discussion and reporting of infection control matters and the consequent review of the programme.  Minutes are available for staff.  Audits have been conducted and include hand hygiene and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hold six-monthly benchmarking meetings and terms of reference are clearly documented.  The facility has adequate signage at the entrance asking visitors not to enter if they have contracted or been in contact with infectious diseases.  Communal toilets/bathrooms have hand hygiene notices.  There is a staff health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Bupa Hillsborough.  The infection control (IC) officer has maintained best practice by attending infection control updates through Bug Control and Bupa infection control training days.  The infection control team is representative of the facility.  The facility has access to professional advice within the organisation and has developed close links with the GPs, community lab, the infection control team, microbiologist and public health departments at the local DHB.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IC nurse and receives ongoing education and completed Bug Control training July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includes defining roles, responsibilities and oversight, training and education of staff.  The infection control policies link to other documentation and uses references where appropriate.  Infection control policies are reviewed as part of the policy review process by Bupa.  Input is sought from facilities when reviewing policies.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nurse ensures training is provided to staff.  Informal education is also provided; availability of education was confirmed by caregivers interviewed.  The orientation package includes specific training around hand washing and standard precautions.  Training on infection control has been provided in 2017.  Hand washing is an annual competency.  Resident education is expected to occur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and the infection control practitioner at the DHB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officer.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statistics are included for benchmarking.  Corrective actions are established where trends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used surveillance data to improve resident outcomes to a level that exceeds the required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At the time of the audit, the service had one hospital resident requiring the use of restraint (a fall out chair and bed rails); and three hospital residents requiring the use of an enabler (bedrails/low bed).  Enabler use is voluntary.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and for staff are documented and understood, confirmed in interviews.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consultation with the resident and family/whānau are evident.  The file of the resident using restraint was reviewed.  The completed assessment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and one care plan reviewed reflected the risks associated with the use of a chair harness and bed rail when in use.  An internal restraint audit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monitored at pre-determined intervals depending on individual risk to that resident.  Consistent evidence to verify two hourly checks was sighted on the monitoring forms for one resident requiring the use of a restraint.</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evidenced in one resident file where restraint was in use.  Restraint use and the evaluation of the continuing need for restraint of each resident using restraint, was evidenced discussed in the RN meeting minutes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restraint minimisation programme is discussed and reviewed at a national level and includes identifying trends in restraint use, reviewing restraint minimisation policies and procedures and reviewing the staff education and training programme.  The annual review for 2017 has not yet been disseminated to the facility from Bupa head office.  The 2016 review of the restraint programme was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53"/>
        <w:gridCol w:w="1280"/>
        <w:gridCol w:w="6366"/>
        <w:gridCol w:w="1694"/>
        <w:gridCol w:w="14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Hillsborough has implemented the Bupa education programme.  Additionally, specific training around identified areas of need or areas the service is desiring to improve is provided and toolbox talks are provided around specific needs.  Four of the seven staff files sampled had a current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seven staff files sampled did not have a current performance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have a current performance appraisal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01"/>
        <w:gridCol w:w="1280"/>
        <w:gridCol w:w="2935"/>
        <w:gridCol w:w="77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1.1.6.2</w:t>
            </w:r>
          </w:p>
          <w:p w:rsidR="00EB7645" w:rsidRPr="00BE00C7" w:rsidP="00BE00C7">
            <w:pPr>
              <w:pStyle w:val="OutcomeDescription"/>
              <w:spacing w:before="120" w:after="120"/>
              <w:rPr>
                <w:rFonts w:cs="Arial"/>
                <w:b w:val="0"/>
                <w:lang w:eastAsia="en-NZ"/>
              </w:rPr>
            </w:pPr>
            <w:r w:rsidRPr="00BE00C7">
              <w:rPr>
                <w:rFonts w:cs="Arial"/>
                <w:b w:val="0"/>
                <w:lang w:eastAsia="en-NZ"/>
              </w:rPr>
              <w:t>The consumer and when appropriate and requested by the consumer the family/whānau of choice or other representatives, are consulted on their individual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geographic location of Bupa Hillsborough and the reputation for positively addressing the needs of residents from diverse cultural backgrounds has led to the service having a high number of residents from diverse cultures with varied needs and specifically needs related to language.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the 2016 resident survey the service identified that the response to the cultural needs of residents could be improved.</w:t>
            </w:r>
          </w:p>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was developed and implemented in consultation with staff, residents, families and the local community.  Actions taken included the development of a simple phrase book for a variety of languages to assist staff to better communicate with residents and their families.  Research was conducted with staff, residents and families to identify phrases that would be helpful to have in the phrase book.  Additionally, incidents were closely monitored to identify incidents that potentially could have been prevented by better communication and to identify phrases to include in the book that may have prevented the incident.  The phrase book was developed and there are copies of the book at the front entrance to the service and in the staff room.  Staff interviewed reported using the phrase book to better communicate with residents of diverse cultures who did not speak English.  A further intervention has been a focus on cultural days covering cultures of residents and staff at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also identified that many staff were not born in New Zealand and did not have a good understanding of the culture in which the residents at the service lived their childhoods and adult years.  Training in New Zealand culture, with a focus on earlier decades, was provided for staff.  Staff interviewed reported that this gave them a whole new understanding of residents and allowed them to converse and reminisce with residents about the past.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these interventions, the resident survey showed an increase in satisfaction around the response to cultural needs from 54% rating this area as neutral or poor, in the 2016 survey to none rating the area as neutral or poor in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quality and risk management process in place.  Monitoring in each area is completed monthly, quarterly, six monthly or annually as designated by the internal auditing programme schedule.</w:t>
            </w:r>
          </w:p>
          <w:p w:rsidR="00EB7645" w:rsidRPr="00BE00C7" w:rsidP="00BE00C7">
            <w:pPr>
              <w:pStyle w:val="OutcomeDescription"/>
              <w:spacing w:before="120" w:after="120"/>
              <w:rPr>
                <w:rFonts w:cs="Arial"/>
                <w:b w:val="0"/>
                <w:lang w:eastAsia="en-NZ"/>
              </w:rPr>
            </w:pPr>
            <w:r w:rsidRPr="00BE00C7">
              <w:rPr>
                <w:rFonts w:cs="Arial"/>
                <w:b w:val="0"/>
                <w:lang w:eastAsia="en-NZ"/>
              </w:rPr>
              <w:t>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reports are generated throughout the year to review performance over a 12-month period.  Quality action forms are utilised at Hillsborough and document actions that have improved outcomes or efficiencies in the facility. The service continues to collect data to support the implementation of corrective action plans. Responsibilities for corrective actions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also a number of ongoing quality improvements identified through meeting minutes and as a result of analysis of quality data collected.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Hillsborough is active in analysing data collected monthly, around accidents and incidents, infection control, restraint etc.</w:t>
            </w:r>
          </w:p>
          <w:p w:rsidR="00EB7645" w:rsidRPr="00BE00C7" w:rsidP="00BE00C7">
            <w:pPr>
              <w:pStyle w:val="OutcomeDescription"/>
              <w:spacing w:before="120" w:after="120"/>
              <w:rPr>
                <w:rFonts w:cs="Arial"/>
                <w:b w:val="0"/>
                <w:lang w:eastAsia="en-NZ"/>
              </w:rPr>
            </w:pPr>
            <w:r w:rsidRPr="00BE00C7">
              <w:rPr>
                <w:rFonts w:cs="Arial"/>
                <w:b w:val="0"/>
                <w:lang w:eastAsia="en-NZ"/>
              </w:rPr>
              <w:t>Example: The Clinical Manager is active in analysing data collected around accidents and incidents. Falls incidents are analysed based on time, day, resident and staffing. The service has identified three residents who are at high risk of falls and they have a different call bell sound to alert staff if they are mobilising in the room. A quarterly analysis of these residents having high falls incidence included updated strategies and communicating these plans to RNs through RN meetings and via email.  The clinical manager and RNs follow up the management plan and adjusts following the evaluation of the effectiveness.   On evaluation of the effectiveness of these measures identified individual improvements.</w:t>
            </w:r>
          </w:p>
          <w:p w:rsidR="00EB7645" w:rsidRPr="00BE00C7" w:rsidP="00BE00C7">
            <w:pPr>
              <w:pStyle w:val="OutcomeDescription"/>
              <w:spacing w:before="120" w:after="120"/>
              <w:rPr>
                <w:rFonts w:cs="Arial"/>
                <w:b w:val="0"/>
                <w:lang w:eastAsia="en-NZ"/>
              </w:rPr>
            </w:pPr>
            <w:r w:rsidRPr="00BE00C7">
              <w:rPr>
                <w:rFonts w:cs="Arial"/>
                <w:b w:val="0"/>
                <w:lang w:eastAsia="en-NZ"/>
              </w:rPr>
              <w:t>Quality action forms have also been implemented.  Example includes; The service initiated a project around the improvement of recording, monitoring and assessment of residents having a fall. A set of forms are available in the neurological observation drawer which include: the policy post fall assessment and management showing the pathway of the monitoring, neurological observation sheet, physical assessment tool and falls risk assessment. This set of forms help guide the RN in assessing residents post fall in accordance to Bupa policy. This along with constant discussion during RN meetings has improved recordings and neurological observation and assessment post fall documentation.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at Bupa Hillsborough work closely with residents and families to ensure that they have all the information they need prior to and at the time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and booklet are utilised at Hillsborough to provide information to residents and families to support them in the transition into residential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2015, it was identified in the resident survey that some residents felt they did not receive enough information about the hospital on admission.  Much of the information on admission was provided verbally and residents and families felt they would benefit from more formally documented information to guide them with the important points to facilitate the transition into residential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conversation was held with new families, which identified that there was not a ‘simple booklet’ of information available to them to help support them in the transition.  A draft booklet was then developed by the Hillsborough team in conjunction with feedback from families.  The booklet was then given out to several different residents and families to gather their thoughts and feedback.  The feedback was then incorporated into the first version, which was proof read by corporate office and sent to print.  This booklet is placed in all rooms and is updated prior to each print run to reflect changes and any other relevant detail.  </w:t>
            </w:r>
          </w:p>
          <w:p w:rsidR="00EB7645" w:rsidRPr="00BE00C7" w:rsidP="00BE00C7">
            <w:pPr>
              <w:pStyle w:val="OutcomeDescription"/>
              <w:spacing w:before="120" w:after="120"/>
              <w:rPr>
                <w:rFonts w:cs="Arial"/>
                <w:b w:val="0"/>
                <w:lang w:eastAsia="en-NZ"/>
              </w:rPr>
            </w:pPr>
            <w:r w:rsidRPr="00BE00C7">
              <w:rPr>
                <w:rFonts w:cs="Arial"/>
                <w:b w:val="0"/>
                <w:lang w:eastAsia="en-NZ"/>
              </w:rPr>
              <w:t>The booklet and information contained was discussed and actioned through resident/relative meetings.  Residents and families commented on its usefulness.  Meeting minutes were documented and evidenced the booklet provided a good level of communication, which was of real benefit to new residents and families in supporting them through the transition into residential care.  The implementation of this initiative has survey results showing that residents feel more enabled and involved in their daily living.  There is improved resident-staff interaction, and the experience overall has given the residents the ability to develop friendships and make their own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Hillsborough is active in analysing data collected monthly, around (but not limited to) infection control, accidents and incidents and restraint and uses the data analysed to improve resident outcomes.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2016 there was a flu outbreak.  The uptake for flu vaccination in 2016 was 67% and Hillsborough was concerned that the flu outbreak may discourage residents and staff from engaging in the 2017 flu vaccination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flu outbreak the clinical manager and care home manager met daily to discuss the number of residents and staff with flu symptoms.  They reviewed isolation and personal protective equipment (PPE) requirements.  They ensured affected residents were reviewed immediately and that all relevant parties were kept informed.  A specific flu outbreak management plan was put in place, with the cooperation of the DHB, Public Health and GPs, with the aim of reducing the number of those affected by flu.  The action plan included accurate and timely records that were kept of all residents or staff who reported flu like symptoms.  The GP reviewed residents.  Staff that called in with flu symptoms were asked to see their GP.  Relevant swabs were taken from residents.  Close contact with Public Health to monitor trend of influenza A was upheld.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debrief meeting was held once outbreak had resolved, to identify learning needs and any service gaps.  Confirmation of 2016 strain to target vaccination was identified.  Detailed records documented of all affected persons, was reviewed.  The concern about uptake of vaccination in 2016 was discussed at residents’ meetings and staff meetings.  The uptake for flu vaccination in 2017 increased from 67% (2016) to 80%.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implement the flu vaccination and education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Hillsborough Hospital</w:t>
    </w:r>
    <w:bookmarkEnd w:id="58"/>
    <w:r>
      <w:rPr>
        <w:rFonts w:cs="Arial"/>
        <w:sz w:val="16"/>
        <w:szCs w:val="20"/>
      </w:rPr>
      <w:tab/>
      <w:t xml:space="preserve">Date of Audit: </w:t>
    </w:r>
    <w:bookmarkStart w:id="59" w:name="AuditStartDate1"/>
    <w:r>
      <w:rPr>
        <w:rFonts w:cs="Arial"/>
        <w:sz w:val="16"/>
        <w:szCs w:val="20"/>
      </w:rPr>
      <w:t>7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