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 Kilda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Kilda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2017</w:t>
      </w:r>
      <w:bookmarkEnd w:id="7"/>
      <w:r w:rsidRPr="009418D4">
        <w:rPr>
          <w:rFonts w:cs="Arial"/>
        </w:rPr>
        <w:tab/>
        <w:t xml:space="preserve">End date: </w:t>
      </w:r>
      <w:bookmarkStart w:id="8" w:name="AuditEndDate"/>
      <w:r w:rsidR="00A4268A">
        <w:rPr>
          <w:rFonts w:cs="Arial"/>
        </w:rPr>
        <w:t>11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Kilda Care Home is part of the Bupa group.  The service is certified to provide rest home, hospital (geriatric and medical) and dementia level care for up to 80 residents.  On the day of the audit there were 75 residents.  The care home manager is appropriately qualified and experienced.  Feedback from residents and relatives was positive about the care being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one shortfall identified at the previous audit has been addressed.  This was around ensuring corrective actions are consistently documented and include evidence of implementation.</w:t>
      </w:r>
    </w:p>
    <w:p w:rsidRPr="00A4268A">
      <w:pPr>
        <w:spacing w:before="240" w:line="276" w:lineRule="auto"/>
        <w:rPr>
          <w:rFonts w:eastAsia="Calibri"/>
        </w:rPr>
      </w:pPr>
      <w:r w:rsidRPr="00A4268A">
        <w:rPr>
          <w:rFonts w:eastAsia="Calibri"/>
        </w:rPr>
        <w:t>This audit identified further improvements are required around the monitoring timeframes on neurological observation forms completing reviews and ensuring interventions and required monitoring are documented for all changes in health status.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manager have an open-door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St Kilda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 assesses and reviews resident’s needs, outcomes and goals at least six-monthly.  Care plans demonstrated service integration and included medical notes by the general practitioner and visiting allied health professionals.  Medication policies reflect legislative requirements and guidelines.  The registered nurse and senior caregivers responsible for administration of medication complete annual education and medication competencies.  The electronic medicine charts had been reviewed by the general practitioner at least three-monthly.  </w:t>
      </w:r>
    </w:p>
    <w:p w:rsidRPr="00A4268A" w:rsidP="00621629">
      <w:pPr>
        <w:spacing w:before="240" w:line="276" w:lineRule="auto"/>
        <w:rPr>
          <w:rFonts w:eastAsia="Calibri"/>
        </w:rPr>
      </w:pPr>
      <w:r w:rsidRPr="00A4268A">
        <w:rPr>
          <w:rFonts w:eastAsia="Calibri"/>
        </w:rPr>
        <w:t>An activity plan is coordinated and implemented for the residents across seven days of the week.  The programme includes community visitors, outings and activities that meet the individual and group recreational preferences for the residents.  Residents' food preferences and dietary requirements are identified at admission.  All meals and baking are cooked on-site.  Food, fluid and nutritional needs of residents are provided in line with recognised nutritional guidelines.  Dislikes are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Bupa restraint policy that includes comprehensive restraint procedures, including restraint minimisation.  There is a documented definition of restraint and enablers that aligns with the definition in the standards.  There was one restraint and one enabler being used.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A monthly infection control meeting is held, trends identified and acted upon.  Benchmarking occurs and a six-monthly comparative summary is completed.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5"/>
        <w:gridCol w:w="1280"/>
        <w:gridCol w:w="102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  There is a complaint register.  Thirteen complaints made in 2016 and seven complaints received in 2017 year-to-date were reviewed.  All complaints have noted investigation, timelines, corrective actions when required and resolutions.  Any corrective actions developed has been followed up and implemented.  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Twelve accident/incident forms reviewed identified family are kept informed.  One relative (hospital) interviewed confirmed that they are kept informed when their family member’s health status changes.  Eight residents (five rest home and three hospital) interviewed, stated that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An introduction to the dementia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Kilda Care Home is part of the Bupa group of aged care facilities.  The facility has a total of 80 beds.  This includes a 20-bed secure dementia unit, 10 rest home beds and 50 hospital beds.  The rest home and hospital beds are all designated as dual-purpose.  On the day of the audit there were 75 residents in total, 18 residents in the dementia unit, 31 rest home residents (including one resident on respite) and 26 hospital residents (including one resident on palliative care).  All other residents were under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St Kilda is part of the Midlands Bupa region and the managers from this region meet bi-monthly to review and discuss the organisational goals and their progress towards these. The operations manager teleconferences monthly and completes a report to the director of care homes and rehabilitation.  St Kilda has a number of quality goals and these also link to the organisations quality and health and safety goals.  A quarterly report is prepared by the care home manager and sent to the Bupa continuous service improvements (CSI) team on the progress and actions that have been taken to achieve the St Kilda quality goals.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January 2017, she has previous experience as a clinical manager with Bupa.  The care home manager was absent at the time of the audit.  She is supported by a clinical manager (CM) who has been in the role for three months.  The CM has over five years’ experience in clinical roles at another Bupa facility.  Staff spoke positively about the support/direction of the current management team.  The operations manager supports the management team and was present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implemented into practice.  Quality and risk performance is reported across facility meetings and to the operations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improvement corrective actions were consistently documented and included evidence of implementation.  The previous certification audit finding has been addressed.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and are monitored by the health and safety committee.  A health and safety representative (household supervisor) was interviewed about the health and safety programme.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There was an annual resident/relative satisfaction survey completed in September 2016 with a 91% overall satisfaction 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use of low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Each event involving a resident reflected a clinical assessment and follow-up by a registered nurse.  However, not all neurological observations were completed for resident falls that resulted in a potential head injury.  Data collected on incident and accident forms are linked to the quality management system.  The management team are aware of their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manager, one RN, two caregivers, one kitchen manager/chef and one activities coordinator),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Seventy four percent of the total staff have attained at least one Bupa Personal Best certificate.  A total of 87% of caregivers have attained a Careerforce qualification.</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Opportunistic education is provided via toolbox talks.  Education and training for clinical staff is linked to external education provided by the DHB.  There are eight RNs and six have completed interRAI training.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Staff training has included sessions on privacy/dignity, spirituality/counselling and social media to ensure the needs of younger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10 caregivers that work in the dementia care unit, five have completed the required dementia standards and four were in progress of completing.  The one caregiver yet to complete their dementia standards was employed within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and clinical manager who both work full-time from Monday to Friday.  The care home manager and clinical manager share the on-call duties.  Registered nurse cover is provided twenty-four hours a day, seven days a week.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are 18 residents in the Lamond dementia unit.  Lamond has one RN on duty in the morning shift.  There are two caregivers on duty in the morning and afternoon shifts and one caregiver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beds are split into three units, Carbine has 25 residents (eight hospital and 17 rest home).  Tavistock has 23 residents (18 hospital and five rest home) and Tristram has nine rest home residents.  There are two RNs on duty on the morning and afternoon shifts (one in Carbine and one in Tavistock/Tristram) and one RN on the night shift (Carbine).  The RNs are supported by adequate numbers of caregivers.  In Carbine, there are four caregivers on duty in the morning and afternoon shifts and one caregiver on the night shift.  In Tavistock there are four caregivers on duty in the morning, two on the afternoon shifts and one caregiver on the night shift.  In Tristram there is one caregiver on duty in the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and education.  The RNs had completed syringe driver, PEG feed and indwelling catheter competencies.  Medications (robotic rolls) are checked on delivery against the medication chart and any discrepancies are fed back to the pharmacy.  All medications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was one self-medicating resident on the day of audit and three-monthly competencies had been reviewed by the GP and were stored on file.  The medication fridge is monitored weekly.  Twelve medication charts were reviewed.  All medication charts had photo identification and allergy status documented. The GP reviews the medication charts at least three-monthly.  The administration signing sheets reviewed identified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kitchen manager/cook is supported by a chef and three kitchenhands.  Staff have been trained in food safety and chemical safety.  There is an organisational four weekly seasonal menu that had been designed in consultation with the dietitian at an organisational level.  Meals are delivered via bain maries to each of the four wings.  The chef serves the food in the hospital wing.  The cook receives a resident dietary profile for all new admissions and is notified of any dietary changes.  Resident likes, dislikes and dietary preferences were known.  Alternative foods are offered.  Cultural, religious and food allergies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Special diets such gluten free, dairy free, diabetic desserts and pureed/soft diets are provided.  Nutritious snacks are available 24 hours in the dementia unit.  Freezer and chiller temperatures and end cooked temperatures are taken and recorded daily.  Corrective actions are in place and sighted for any issues.  Chilled goods temperature is checked on delivery.  Twice daily food temperatures are monitored and recorded.  All foods were date labelled.  A cleaning schedule is maintained.  Kitchen staff were observed to be wearing appropriate personal protective clothing.  Residents have the opportunity to provide feedback on the meals through resident meetings, survey and direct contact with the chef or cook.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RNs interviewed stated they initiate a review and if required, GP or nurse specialist consultation.  There is documented evidence that family members were notified of any changes to their relative’s health including (but not limited to): accident/incidents, infections, health professional visits, changes in medications and referrals/appointments.  Residents interviewed state their expectations are being met.  Not all interventions and monitoring requirements have been documented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 there is adequate equipment provided, including continence and wound care supplies.  Wound assessment, wound management and evaluation forms are in place.  Wound management and monitoring occurred as planned.  All have appropriate care documented and provided, including pressure relieving equipment.  Access to specialist advice and support is available as needed.  Care plans document allied health input.  There were three wound registers in the facility.  A sample of wounds reviewed in detail included a link to STCPs and LTCPs.  There is wound care specialist input where needed.  Physiotherapy and dietitian input is provided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time diversional therapist (DT) oversees the activities programme provided across seven days per week.  An activities assistant works twenty-four hours over six days.  She is also a music teacher.  There are three programmes with a range of activities offered.  There are separate rest home and hospital programmes with activities that meet the needs and preferences of the two resident groups, however many activities are integrated such as entertainment, as observed on the day of audit.  Variations to the group programme are made known to the residents.  Residents may choose to participate in any group programme.  Individual programmes are delivered to residents in their rooms when they are unable to or choose not to participate in the group programme.  There is a specific programme for the dementia residents. The group programme covers physical, cognitive, social and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visiting entertainers and community groups.  Activities provided are meaningful and include (but are not limited to): newspaper reading, current affairs, reminiscing, crafts and quizzes.  There are weekly van outings into the community areas of interest (eg, Avanti Drone where residents ride trikes) for residents.  There is a ‘music moves’ (sit dance exercise) class that has now become part of the monthly programme.  Community people visit and provide (but not limited to); pencil art sessions, piano sessions, pet therapy.  There are two cats and birds residing in the home.  There is a ‘men’s group’ run by men where they go on outings to places of choice (last visited the airport).  There is a ‘sensory room’ with (but not limited to) a lazy boy chair, sensory lighting, aromatherapy and music.  The DT interviewed stated residents with behavioural challenges settle quickly once utilising the sensory room.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armchair travel theme days (over two days) to a country of choice.  Residents, relatives and staff prepare for these theme days and participate on the day with decorations, wearing costume and tasting food from the chosen country. St Kilda opened a ‘day care’ for children in February 2017.  Twenty to thirty children attend a morning once a month.  Residents and relatives participate in activities with the children.  A resident activity assessment is completed on admission.  Each resident has an individual activity plan which is reviewed six-monthly.  Recreational preferences are age appropriate and meet the individual needs for aged care. The service receives feedback on activities through one-on-one feedback, resident’s meetings and surveys.  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and a long-term care plan developed.  Three LTCPs reviewed had care plans evaluated six-monthly.  Written evaluations identified if the desired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a visible location that expires 17 December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nurse/clinical manager collates information obtained through surveillance to determine infection control activities and education needs in the facility.  Infection control data is discussed at the quality meetings and data is available to all staff, including graphs.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monthly and annual comparisons of infection rates for types of infections.  Systems in place are appropriate to the size and complexity of the facility.    An outbreak (vomiting and diarrhoea) was notified in June 2017.  Samples were negative for norovirus.  Since the outbreak a spot handwashing audit was completed in June 2017 and education had been provided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Enablers are assessed as required for maintaining safety and independence and are used voluntarily by the residents.  There is one hospital resident requiring the use of bed rails as restraint and one hospital resident requiring the use of an enabler (bedrail). Use of an enabler is voluntary.  An assessment for restraint/enabler use and consent form were evidenced completed in the one restraint and one enabler file reviewed. The care plans reviewed documented the use of enabler or restraint and contained appropriate interventions.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0"/>
        <w:gridCol w:w="1280"/>
        <w:gridCol w:w="5536"/>
        <w:gridCol w:w="2625"/>
        <w:gridCol w:w="14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Each event involving a resident reflected a clinical assessment and follow-up by a registered nurse.  However,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incident forms were reviewed in total.  Five incident forms were reviewed for resident falls with a head injury.  The neurological observations forms were not all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forms for any resident fall with a head injury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occurs for food/fluid, neuro observations (link 1.2.4.3), vital signs, weight, blood glucose, pain and challenging behaviours.  Risk assessment tools are utilised for the assessment of risk with outcomes informing the care plan.  The care plans had not been updated to meet the current needs/supports for two long-term residents under ARCC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resident’s (hospital) long-term care plan does not have interventions for fluctuations in weight and weigh management as per dietitian instruction.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(dementia) has no documented interventions for falls prevention and mobility management as per physiotherapist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and required monitoring are documented for all changes in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 Kilda Care Home</w:t>
    </w:r>
    <w:bookmarkEnd w:id="58"/>
    <w:r>
      <w:rPr>
        <w:rFonts w:cs="Arial"/>
        <w:sz w:val="16"/>
        <w:szCs w:val="20"/>
      </w:rPr>
      <w:tab/>
      <w:t xml:space="preserve">Date of Audit: </w:t>
    </w:r>
    <w:bookmarkStart w:id="59" w:name="AuditStartDate1"/>
    <w:r>
      <w:rPr>
        <w:rFonts w:cs="Arial"/>
        <w:sz w:val="16"/>
        <w:szCs w:val="20"/>
      </w:rPr>
      <w:t>11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