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Inglewood Welfare Society Incorporated - Marinoto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Inglewood Welfare Society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Marinoto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2017</w:t>
      </w:r>
      <w:bookmarkEnd w:id="7"/>
      <w:r w:rsidRPr="009418D4">
        <w:rPr>
          <w:rFonts w:cs="Arial"/>
        </w:rPr>
        <w:tab/>
        <w:t xml:space="preserve">End date: </w:t>
      </w:r>
      <w:bookmarkStart w:id="8" w:name="AuditEndDate"/>
      <w:r w:rsidR="00A4268A">
        <w:rPr>
          <w:rFonts w:cs="Arial"/>
        </w:rPr>
        <w:t>2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Marinoto Rest Home is owned by the Inglewood Welfare Society.  The Board employs a facility manager to oversee the daily operations of the home.  The service provides rest home level of care for up to 25 residents.  On the day of the audit there were 19 residents.</w:t>
      </w:r>
    </w:p>
    <w:p w:rsidRPr="00A4268A">
      <w:pPr>
        <w:spacing w:before="240" w:line="276" w:lineRule="auto"/>
        <w:rPr>
          <w:rFonts w:eastAsia="Calibri"/>
        </w:rPr>
      </w:pPr>
      <w:r w:rsidRPr="00A4268A">
        <w:rPr>
          <w:rFonts w:eastAsia="Calibri"/>
        </w:rPr>
        <w:t>The residents, relatives and general practitioner commented positively on the care and services provided at Marinoto Rest Home.</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and the general practitioner.</w:t>
      </w:r>
    </w:p>
    <w:p w:rsidRPr="00A4268A">
      <w:pPr>
        <w:spacing w:before="240" w:line="276" w:lineRule="auto"/>
        <w:rPr>
          <w:rFonts w:eastAsia="Calibri"/>
        </w:rPr>
      </w:pPr>
      <w:r w:rsidRPr="00A4268A">
        <w:rPr>
          <w:rFonts w:eastAsia="Calibri"/>
        </w:rPr>
        <w:t xml:space="preserve">The facility manager (registered nurse) has a background in clinical and management roles within the primary health sector and has been in the role since January 2017.  She is supported by two registered nurses and an assistant manager. </w:t>
      </w:r>
    </w:p>
    <w:p w:rsidRPr="00A4268A">
      <w:pPr>
        <w:spacing w:before="240" w:line="276" w:lineRule="auto"/>
        <w:rPr>
          <w:rFonts w:eastAsia="Calibri"/>
        </w:rPr>
      </w:pPr>
      <w:r w:rsidRPr="00A4268A">
        <w:rPr>
          <w:rFonts w:eastAsia="Calibri"/>
        </w:rPr>
        <w:t xml:space="preserve">The service has addressed 11 of 14 previous certification findings relating to: relative notifications of incidents; dates and signatures on clinical records; admission agreement; assessments; service integration; medicine management; infection control coordinator training; and surveillance.  </w:t>
      </w:r>
    </w:p>
    <w:p w:rsidRPr="00A4268A">
      <w:pPr>
        <w:spacing w:before="240" w:line="276" w:lineRule="auto"/>
        <w:rPr>
          <w:rFonts w:eastAsia="Calibri"/>
        </w:rPr>
      </w:pPr>
      <w:r w:rsidRPr="00A4268A">
        <w:rPr>
          <w:rFonts w:eastAsia="Calibri"/>
        </w:rPr>
        <w:t>There continues to be improvements required around timely provision of service, care plan interventions and the infection control programme remain.</w:t>
      </w:r>
    </w:p>
    <w:p w:rsidRPr="00A4268A">
      <w:pPr>
        <w:spacing w:before="240" w:line="276" w:lineRule="auto"/>
        <w:rPr>
          <w:rFonts w:eastAsia="Calibri"/>
        </w:rPr>
      </w:pPr>
      <w:r w:rsidRPr="00A4268A">
        <w:rPr>
          <w:rFonts w:eastAsia="Calibri"/>
        </w:rPr>
        <w:t xml:space="preserve">This audit identified further areas for improvement around complaints, internal audits and education.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Regular resident meetings are held.  Resident/relative surveys provide an opportunity for feedback on the services.  Open communication is encouraged and management operate an open-door policy.  Complaint forms and information is readily available.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  Quality data is collated and trended to identify areas for improvement.  Health and safety policies, systems and processes are implemented to manage risk.  Incidents and accidents are reported and followed up.  An education and training programme is in place.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The registered nurses are responsible for each stage of service provision.  A registered nurse assesses and develops the care plan documenting supports, needs, outcomes and goals with the resident and/or family/whānau input.  Care plans viewed in resident records demonstrate service integration.  Resident files include the general practitioner, specialist and allied health notes.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that are responsible for administration of medicines, complete annual education and medication competencies.  The medicine charts sampled are reviewed at least three-monthly.     </w:t>
      </w:r>
    </w:p>
    <w:p w:rsidRPr="00A4268A" w:rsidP="00621629">
      <w:pPr>
        <w:spacing w:before="240" w:line="276" w:lineRule="auto"/>
        <w:rPr>
          <w:rFonts w:eastAsia="Calibri"/>
        </w:rPr>
      </w:pPr>
      <w:r w:rsidRPr="00A4268A">
        <w:rPr>
          <w:rFonts w:eastAsia="Calibri"/>
        </w:rPr>
        <w:t xml:space="preserve">One activity coordinator oversees the activity programme for the residents.  The programme runs during the day over five days and health care assistants provide activities on the weekends.   </w:t>
      </w:r>
    </w:p>
    <w:p w:rsidRPr="00A4268A" w:rsidP="00621629">
      <w:pPr>
        <w:spacing w:before="240" w:line="276" w:lineRule="auto"/>
        <w:rPr>
          <w:rFonts w:eastAsia="Calibri"/>
        </w:rPr>
      </w:pPr>
      <w:r w:rsidRPr="00A4268A">
        <w:rPr>
          <w:rFonts w:eastAsia="Calibri"/>
        </w:rPr>
        <w:t xml:space="preserve">There is a well-equipped kitchen and all meals and baking are done on-site.  Residents' food preferences, dietary and cultural requirements are identified at admission and accommodated.  Food, fluid and nutritional needs of residents are provided in line with recognised nutritional guidelines and additional requirements/modified needs are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(expiry 8 April 2018).</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Marinoto Rest Home has restraint minimisation and safe practice policies and procedures in place.  During the audit, there were no residents using restraints or requiring enablers.  The registered nurses share the restraint coordinator responsibilities.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6"/>
        <w:gridCol w:w="1280"/>
        <w:gridCol w:w="10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Complaint forms are visible and available.  Information about complaints is provided on admission.  Interview with relatives and residents demonstrates an understanding of the complaints process.  Two healthcare assistants (HCA) and two registered nurses interviewed were able to describe the process around reporting complaints.  There is a complaint register.  Two written complaints for 2016 have been investigated within the required timeframe and to the satisfaction of the complainant.  Staff meeting minutes identify discussion around a relative’s verbal concern, however, this had not been entered or investigated as per the complaints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and three relatives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Seven incident/accident forms reviewed include documented evidence of family notification or noted if family did not wish to be informed.  The previous finding around notification of relatives following incidents has been addressed.  Resident meetings are held regularly and evidence discussion on all services provided.  Resident and relative newsletters commenced in February and will be quarterly.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Marinoto Rest Home is owned and operated by the Inglewood Welfare Society since July 2015.  The business had been previously leased for 21 years.  The Board of Trustees (one of whom was interviewed) have appointed a manager to oversee the daily operations of the home.  The new facility manager was appointed in January 2017.  Marinoto provides rest home level of care for up to 25 residents.  On the day of the audit, there were nineteen residents including one resident under sixty-five years.  All residents (including the under 65 years of age resident) are under the aged related residential care contact (ARRC).  There are no respite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(RN) with a current practising certificate and has a post graduate master of nursing.  This is her first aged care role; however, she has had many years of clinical and management experience in primary health care.  The facility manager is supported by two RNs who job share over seven days week on day shift.  A non-clinical assistant manager is employed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board members who meet monthly and have the ability to co-opt to other members as required.  The facility manager reports directly to a board subcommittee who meet monthly and are available to the facility manager as required at other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Inglewood Welfare Society has an overall business/strategic plan 2016 – 2018.  The business plan includes the vision and key objectives for Marinoto.  The business plan is reviewed at board meetings and at the annual general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attended at least eight hours of professional development that relates to managing a rest home, including attending a manager training day; leadership in aged care and DHB provider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Marinoto Rest Home.  The quality and risk management programme is designed to monitor contractual and standards compliance.  The service's policies and procedures have been developed by an external aged care consultant.  Staff interviewed confirm they are made aware of any changes to policies through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accidents/incidents, falls and infection control.  Information and graphs are displayed on the staff noticeboard and staff meeting minutes’ evidence discussion around trends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continues to be implemented, however, not all corrective actions have been followed up and signed off.  Outcomes of internal audits have not been discussed at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annually to gather feedback on the service provided.  The survey is due in June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that have been reviewed to include the new health and safety legislation.  The facility manger has attended a health and safety update as part of a manager study day.  Health and safety is a set agenda item at the monthly staff meeting.  Minutes evidence discussion around incidents, falls and hazard management.  Analysis of accident/incidents include the time of incidents.  There is a current hazard register.  The service is in the process of nominating a health and safety representative who will then attend the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RNs investigate accidents and near misses and analysis of incident trends occurs.  The registered nurses (RNs) complete clinical follow up of residents.  Seven incident/accident forms reviewed demonstrated that appropriate clinical follow up and investigation occurred following incidents.  Neurological observations have been completed following unwitnessed falls or known knocks to the head.  Discussions with the facility confirms that there is an awareness of the requirement to notify relevant authorities in relation to essential notifications.  There has been an external issued based audit around clinical oversight for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The recruitment and staff selection process requires that relevant checks are completed to validate the individual’s qualifications, experience and veracity.  A copy of practising certificates is kept.  Five staff files were reviewed (two RNs, two HCAs and one activity coordinator).  All files evidenced that reference checks have been completed prior to employment.  Annual staff appraisals are evident in four of five staff files reviewed.  One staff member was not due for an annual appraisal.  All files reviewed evidence signed job descriptions.  The service has an orientation programme in place that provides new staff with relevant information for safe work practice.  Staff interviewed were able to describe the orientation process and stated that they believe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2016 has been completed and the plan for 2017 is in place.  The physiotherapist provides safe manual handling for staff.  Not all mandatory training has been offered 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RN has completed the interRAI training and the other RN is in the process of completing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rostering and skill mix policy is in place.  Staff are rostered on to manage the care requirements for residents in the rest home.  The facility manager and assistant manager (a qualified HCA) are on duty Monday to Friday on day shift.  Two registered nurses cover the seven-day week on morning shifts.  The manager and RNs share the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HCAs on full shifts for morning, afternoon and night shifts.  There is a short shift kitchenhand/HCA on the mornings and afternoons.  There is a dedicated cleaner on Monday to Friday and kitchen staff carry out cleaning duties in the weekends when they have finished in the kitchen.  The activities coordinator is on duty from 8.30 am – 4.30 pm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HCAs, relatives and residents confirm that staffing is adequate to meet the needs of residents.  There is at least one staff member with a current first aid certificate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documents and care plans including updates, identified the RN (by signature) who updated the care plan/clinical record and the date amendments have been made.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confirm they received information prior to admission and had the opportunity to discuss the admission agreement with the owner/manager.  The admission agreement in use has been developed by an aged care association and aligns with the requirements of the aged related residential contract (ARRC).  Exclusions from the service are included in the admission agreement.  The previous finding around the admission agreement has been addressed.  Residents and relatives confirmed the service agreement is discussed with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Staff who administer medications have been assessed for competency on an annual basis.  Medications received (blister packs) are checked on delivery by both RNs.  All medications are stored safely.  All eye drops are dated on opening.  The medication fridge is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Ten of ten medication charts sampled meet legislative prescribing requirements.  The GP has reviews the medication charts three-monthly.  Administration records demonstrate that all medications are signed as administered.  Residents who self-administer have medication competencies checked three-monthly by the GP and RN.  Medication errors are documented on incident forms and investigated with competencies of staff being reviewed where appropriate.  The internal auditing programme includes medication audits completed by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findings around: GP reviews of medication charts; signing of six-monthly audits; medication reconciliation; glucagon for diabetic emergencies; medication competencies; self-medication; and compliance of administering medications, have all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Marinoto are prepared and cooked on-site in a well-equipped kitchen.  Two cooks cover seven days a week.  Kitchen hands provide support.  The kitchen staff have not all completed food safety or chemical safety education (link 1.2.7.5).  There is a four-weekly seasonal menu which has been reviewed by a dietitian in November 2016.  Food preferences are met and staff can access the kitchen at any time to access food for residents as required.  The cook receives a dietary profile of resident dietary requirements and any likes or dislikes including updates.  Special diets including modified foods and diabetic diets are catered for.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 cooked temperatures are monitored weekly.  A cleaning schedule is maintained.  Chemicals are stored safely within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 resident feedback on the meals and food services.  Residents and family members interviewed are very satisfied with the food and confirm that alternative food choices are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Risk assessment tools are completed and the outcome of assessments forms the basis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resident files sampled where pain was identified, a pain assessment has been completed.  Wound assessments are in place for wounds.  The previous finding around pain assessments has been addressed (link to 1.3.6.1 for effectiveness of analgesia) and wound assessments has been addressed.  InterRAI assessments had not been completed within the required timeframes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resident files sampled have a documented long-term care plan in place to guide care.  The long-term care plans include supports and needs to meet the resident goals.  The outcomes of the risk assessments are reflected in the four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did not have a long-term care plan documented and intervention were not documented for all identified issues; this previous finding remains open.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all files sampled where there was a hospital discharge summary, the discharge summary instruction had been transferred to the long-term care plan.  The previous finding around service integration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consultation.  There is evidence that family members are notified of any changes to their relative’s health including (but not limited to): accident/incidents; infections; health professional visits; and changes in medications.  Discussions with families are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are in the treatment room.  Wound management policies and procedures are in place.  Initial wound assessments and ongoing evaluations are in place for one resident with multiple skin lesions.  There is a range of equipment readily available to minimise pressure injury.  There were no pressure injuries on the day of audit.  There is access to a wound nurse specialist at the DHB as required.  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document appropriate interventions to manage short-term changes in health such as infections.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used, for example: observations; behaviour; blood sugar levels; and neurological signs.  Pain assessments are documented for each of the resident files reviewed, however there is no documented follow-up for the effectiveness of analgesia administered.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(AC) typically works a minimum of 35 hours per week Monday to Friday.  Healthcare assistants assist with individual and group activities during the week and on weekends.  The activities programme provides individual and group activities that are meaningful and reflect ordinary patterns of life.  The monthly programme includes: van outings; church services; games; gardening; and exercise.  Local kindergarten and school groups visit.  Recently residents held a market day including: a cake stall; garage sale; raffles; craft stall; and with local community providing some other stalls.  A local retirement home visits and vice versa where they run competitions.  There is a men’s club, where they discuss male orientated interests and plan activities.  Van outings take residents to local sites of interest.  On the day of audit residents were observed participating in a variety of activities.  One-on-one activities are provided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responsible for the resident’s individual activity care plans which are developed within the first three weeks of admission.  The resident/family/whānau as appropriate, are involved in the development of the activity plan.  Resident files reviewed identify that the individual activity plan is reviewed six-monthly and evidence outcomes achieved against goals set.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that are appropriate to the functional capabilities of residents and are mostly driven by resident requests.  Residents provide feedback individually and make suggestions for activities at the resident meetings and via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evaluates care plans when there is a change in health status.  Care plans are not always evaluated twenty one days after admission or six monthly (also link 1.3.3.3).  Short-term care plans sighted were evaluated and resolved or added to the long-term care plan if the problem is ongoing.  The GP reviews the residents at least three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8 April 2018.  The dining room has been upgraded and includes new dining furniture.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and degree of risk associated with the service.  The scope of the infection control programme is available.  The programme has not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RNs are responsible for coordinating/providing education and training to staff.  Both infection control coordinators have a job description that defines their responsibilities for infection control including staff education.  Both infection control coordinators have completed the online MOH training.  One infection control coordinator attended a DHB study day in April 207 which included infection control.  The second RN is registered to attend the DHB study day in August 2017.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symptoms and definition of infection.  Infection control reports for resident infections are collated and entered onto a monthly infection summary.  This data is monitored and analysed for trends monthly and six-monthly.  An infection analysis and graphs are available for all staff.  The previous finding around trending of data has been addressed.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During the audit, there were no residents using enablers or requiring restraint.  Restraint minimisation is overseen by two RNs.  Education on restraint minimisation and managing challenging behaviour has not occurred within the last two years (link 1.2.7.5).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0"/>
        <w:gridCol w:w="1280"/>
        <w:gridCol w:w="5544"/>
        <w:gridCol w:w="3761"/>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register includes two written complaints, investigation, follow up within the required timeframes and actions taken.  One verbal concern was not entered into the complaint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around a relative verbal concern was identified in a staff meeting.  The verbal concern had not been entered into the complaint register, investigated, followed up and resolved to the satisfaction of the complainant.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verbal concerns are managed in line with the complaints procedure.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completed as per the internal audit schedule.  Audits cover all areas of service including environmental, clinical, food services, infection control and medications.  Non-compliance is identified but not followed up with staff and actioned.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cover all areas of the service.  Corrective actions have been identified and documented.  There is no documented evidence that corrective actions have been completed and signed off for internal audits with less than 100% compliance.  There is no documented evidence that the outcomes of internal audits have been discussed at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actions are completed and signed off.  Ensure outcomes of internal audits are documented in meeting minutes.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in place which covers mandatory training over a two-year period.  Five staff files were reviewed.  Competencies had been completed such as medication, fire and safety questionnaire, health and safety questionnaire and hand hygiene competencies.  The RNs have attended a palliative care study day.  Not all mandatory training requirements have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cooks have completed food safety unit standards.  However, other staff involved in food preparation have not completed food safety or chemical safety training.  Care staff have not completed skin care, prevention of pressure injuries, restraint minimisation and safe practice within the last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mandatory education is completed as scheduled.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completes an initial assessment within twenty four hours of admission and documents the initial care plan.  Five of five files sampled did not have a current interRAI assessment where this was required.  Until recently, only one of the two RNs was trained in interRAI assessments, due to a change in staffing.  The second RN is currently completing interRAI training.  Not all interRAI assessments reviewed were completed within 21 days of admission or six monthly as required.  The previous finding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five interRAI assessments had not been completed as required (one interRAI assessment was not completed within twenty one days of admission; four had not had interRAI assessments completed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contractual timeframes around resident assessments and interRAI assessments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ADLs to meet the resident’s goals and needs and identified allied health involvement.  Not all care plans identified all interventions to manage current risks.  One resident newly admitted (been in the facility longer than five weeks) had no documented long 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(i)One new resident file did not have a LTCP completed.</w:t>
            </w:r>
          </w:p>
          <w:p w:rsidR="00EB7645" w:rsidRPr="00BE00C7" w:rsidP="00BE00C7">
            <w:pPr>
              <w:pStyle w:val="OutcomeDescription"/>
              <w:spacing w:before="120" w:after="120"/>
              <w:rPr>
                <w:rFonts w:cs="Arial"/>
                <w:b w:val="0"/>
                <w:lang w:eastAsia="en-NZ"/>
              </w:rPr>
            </w:pPr>
            <w:r w:rsidRPr="00BE00C7">
              <w:rPr>
                <w:rFonts w:cs="Arial"/>
                <w:b w:val="0"/>
                <w:lang w:eastAsia="en-NZ"/>
              </w:rPr>
              <w:t>(ii)One resident file for a resident with a chronic wound did not document the management of continence, nutrition and skin integrity.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long-term care plans are completed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interventions are documented for all resident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 resident files reviewed staff (registered nurses and caregivers) could describe care required to meet resident assessed needs.  However files reviewed did not always document resident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the effectiveness of analgesia given for a resident requiring prn analgesia.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effectiveness of analgesia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discussed at the monthly staff meeting and includes discussion about infection control matters.  The scope of the programme is outlined in the infection control policy, however the programme has not been reviewed.  The previous finding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in the last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control programme is reviewed at least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Inglewood Welfare Society Incorporated - Marinoto Rest Home</w:t>
    </w:r>
    <w:bookmarkEnd w:id="58"/>
    <w:r>
      <w:rPr>
        <w:rFonts w:cs="Arial"/>
        <w:sz w:val="16"/>
        <w:szCs w:val="20"/>
      </w:rPr>
      <w:tab/>
      <w:t xml:space="preserve">Date of Audit: </w:t>
    </w:r>
    <w:bookmarkStart w:id="59" w:name="AuditStartDate1"/>
    <w:r>
      <w:rPr>
        <w:rFonts w:cs="Arial"/>
        <w:sz w:val="16"/>
        <w:szCs w:val="20"/>
      </w:rPr>
      <w:t>2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