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Ativas Limited - Cairnfield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Ativas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Cairnfield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2017</w:t>
      </w:r>
      <w:bookmarkEnd w:id="7"/>
      <w:r w:rsidRPr="009418D4">
        <w:rPr>
          <w:rFonts w:cs="Arial"/>
        </w:rPr>
        <w:tab/>
        <w:t xml:space="preserve">End date: </w:t>
      </w:r>
      <w:bookmarkStart w:id="8" w:name="AuditEndDate"/>
      <w:r w:rsidR="00A4268A">
        <w:rPr>
          <w:rFonts w:cs="Arial"/>
        </w:rPr>
        <w:t>19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Cairnfield House provides rest home and hospital level care for up to 67 residents.  On the day of the audit there were 67 residents.  The service is managed by a facility manager (non-clinical), who is supported by a clinical manager (registered nurse).  The residents, relatives and GP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This audit identified that improvements are required around corrective actions, adverse event reporting, staff training, interRAI assessment timeframes, monitoring,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that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facility manager and a clinical manager are responsible for the day-to-day operations of the care facility.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admission package.  Registered nurses are responsible for the provision of care and documentation at every stage of service delivery.  There is information gained through the initial support plans, specific assessments, discharge summaries, and the care plans to guide staff in the safe delivery of care to residents.  Care plans are developed in consultation with the resident and/or family.  Care plans demonstrate service integration.  Resident files include three-monthly reviews by the general practitioner.  There is evidence of allied health professional input into resident care.</w:t>
      </w:r>
    </w:p>
    <w:p w:rsidRPr="00A4268A" w:rsidP="00621629">
      <w:pPr>
        <w:spacing w:before="240" w:line="276" w:lineRule="auto"/>
        <w:rPr>
          <w:rFonts w:eastAsia="Calibri"/>
        </w:rPr>
      </w:pPr>
      <w:r w:rsidRPr="00A4268A">
        <w:rPr>
          <w:rFonts w:eastAsia="Calibri"/>
        </w:rPr>
        <w:t xml:space="preserve">Medication policies reflect legislative requirements and guidelines.  Medications are recorded using a paper-based system.  All staff responsible for administration of medicines complete medicines competencies annually.  The medicines records sampled had been reviewed at least three-monthly by the general practitioner.  </w:t>
      </w:r>
    </w:p>
    <w:p w:rsidRPr="00A4268A" w:rsidP="00621629">
      <w:pPr>
        <w:spacing w:before="240" w:line="276" w:lineRule="auto"/>
        <w:rPr>
          <w:rFonts w:eastAsia="Calibri"/>
        </w:rPr>
      </w:pPr>
      <w:r w:rsidRPr="00A4268A">
        <w:rPr>
          <w:rFonts w:eastAsia="Calibri"/>
        </w:rPr>
        <w:t xml:space="preserve">The activities coordinators implement the activity programme to meet the individual needs, preferences and abilities of the residents.  Community links are maintained.  There are regular entertainers, outings, and celebrations.  There is one varied activity programme in place for all residents (rest home, hospital and younger residents).  The programme includes strong links with community, with visitor involvement, outings, entertainment and activities that meets the recreational preferences, interests and abilities of all residents.  </w:t>
      </w:r>
    </w:p>
    <w:p w:rsidRPr="00A4268A" w:rsidP="00621629">
      <w:pPr>
        <w:spacing w:before="240" w:line="276" w:lineRule="auto"/>
        <w:rPr>
          <w:rFonts w:eastAsia="Calibri"/>
        </w:rPr>
      </w:pPr>
      <w:r w:rsidRPr="00A4268A">
        <w:rPr>
          <w:rFonts w:eastAsia="Calibri"/>
        </w:rPr>
        <w:t>The menu is designed and reviewed by a registered dietitian and all meals cooked on-site.  Residents' individual needs are identified.  There is a process in place to ensure changes to residents’ dietary needs are communicated to the kitchen.  Regular audits of the kitchen occur.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Resident rooms are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Chemicals are stored securely throughout the facility.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company has a restraint free philosophy.  The restraint coordinator maintains a register.  The service had three residents using an enabler and no residents with restraint.  Staff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7"/>
        <w:gridCol w:w="1280"/>
        <w:gridCol w:w="9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provided to residents and their families.  Policies relating to the Code are implemented.  Two managers (one facility manager and one clinical manager), and 14 care staff (nine healthcare assistants, one enrolled nurse, four registered nurses), and two activities staff interviewed confirmed their understanding of the Code and provided examples of how the Code is applied to residents’ care.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in place for informed consent and resuscitation.  The service is committed to meeting the requirements of the Code of Health and Disability Services Consumers Rights.  Policies include informed consent, resuscitation and advanced directives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signed consents including informed consent, media consent, outings and resuscitation status in all nine resident files sampled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and family/resident care plan updates are also reviewed through the six-monthly MDT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Advocacy posters in Māori and English are displayed in visible locations.  Staff receive regular education and training on the role of advocacy services, which begins during their induction to the service.  Education is provided by the local HDC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 residents to maintain their relationships with friends and community groups.  Interviews with ten residents confirmed that they are encouraged to remain active in their community and participate in social activities external to the aged care facility.  Examples include RSA, van outings, and church services.  Local entertainers regularly visit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Complaints forms are located at reception.  A register of all complaints received is maintained.  Six complaints were received in 2016 and three in 2017 (year to date).  Documentation including follow-up letters and resolution demonstrated that complaints are well-managed.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provided to new residents and their families.  The facility manager and/or clinical manager discuss aspects of the Code with residents and their family on admission.  Discussions relating to the Code are also held during the monthly resident/family meetings.  All ten residents (four rest home, six hospital) and family (one hospital and five rest home)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 is being given and do not hold personal discussions in public areas.  They reported that they promote the residents' independence by encouraging them to be as active as possible.  All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  Links are in place with Age Concern for referral if abuse and/or neglect is suspected.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local kaumātua.  Resident rooms are blessed following a death.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 healthcare assistants interviewed provided examples of how they ensure Māori values and beliefs are upheld by the service.  There were seven residents living at the facility who identified as Māori during the audit.  Cultural values and beliefs that are identified are documented in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nine care plans reviewed (four rest home - including one resident admitted under a young person with disability agreement, one resident funded by ACC and two residents admitted under a long-term support chronic health funding agreement (LTS-CHC), and five hospital residents including one LTS-CHC).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supported, promoting and encouraging good practice.  Registered nursing staff are available seven days a week, 24 hours a day.  Residents identified as stable are reviewed by the general practitioner (GP) every three months, with more frequent visits scheduled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Northland District Health Board (NDHB) and local community hospice services.  Examples include visits from the NDHB mental health team and palliative care nursing visits by the community hospice.  A physiotherapist is available on an ‘as needed’ basis.  </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in-service education and training programme for staff (link 1.2.7.5).  Staff competency assessments are completed for medication, oxygen use, hand hygiene, health and safety, and manual handling.  All healthcare assistants receive supervision by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maintained links with the local community and encourages their active residents to remain independent, with examples provided.  Residents interviewed spoke positively about the care and support provided.  Care staff interviewed stated that they are supported with their professional development.</w:t>
            </w:r>
          </w:p>
          <w:p w:rsidR="00EB7645" w:rsidRPr="00BE00C7" w:rsidP="00BE00C7">
            <w:pPr>
              <w:pStyle w:val="OutcomeDescription"/>
              <w:spacing w:before="120" w:after="120"/>
              <w:rPr>
                <w:rFonts w:cs="Arial"/>
                <w:b w:val="0"/>
                <w:lang w:eastAsia="en-NZ"/>
              </w:rPr>
            </w:pPr>
            <w:r w:rsidRPr="00BE00C7">
              <w:rPr>
                <w:rFonts w:cs="Arial"/>
                <w:b w:val="0"/>
                <w:lang w:eastAsia="en-NZ"/>
              </w:rPr>
              <w:t>Improvements since the last audit included (but were not limited to) the purchase of a new van, installation of heat pumps, installation of Wi-Fi, and computer upgrades, and increase in healthcare assistant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The policy also describes that open disclosure is part of everyday practice.  The care staff interviewed understood about open disclosure and providing appropriate information and resource material when required.  Evidence of communication with family/whānau is recorded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Eight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owned by Ativas Limited and is managed by a facility manager.  Cairnfield House provides care for up to 67 residents at rest home and hospital (medical and geriatric) levels of care.  There are 40 beds (dual-purpose beds) and 27 rest home care beds.  In the dual-purpose beds, there were five rest home residents including two residents admitted under a LTS – CHC support agreement, and 35 hospital residents.  In the 27 rest home beds, there were 27 rest home residents including one resident admitted under a LTS – CHC support agreement, one resident admitted under a young person with disability agreement and one resident funded by ACC.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Business goals documented for 2016 have been reviewed and the 2017 business plan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maintains an on-site office and is present most days.  The facility manager is a registered diversional therapist who commenced employment at the facility 21 years ago as a healthcare assistant and has progressed through various roles since then.  She was appointed to the role of facility manager in September 2013.  She is supported by a clinical manager who is a registered nurse (RN) with a current practising certificate and experience in the aged residential care industry.</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facility manager, the clinical manager assumes the facility manager’s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care staff and one cook, one cleaner, two maintenance, and one laundry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Quality data is regularly communicated to staff via monthly staff meetings, and through the use of graphs that are posted each month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Areas of non-compliance include the initiation of corrective action plans, however not all corrective actions were documented, evaluated or signed off once implemented.  There was evidence in the monthly staff meetings to verify staff are informed of audit results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use of sensor mats and implementing strategies for frequent fallers.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(clinical operations manager) and review of health and safety documentation confirmed that legislative requirements are being met.  External contractors have been orientated to the facility’s health and safety programme.  The hazard register is regularly reviewed (last review 6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Eight accident and incident forms were evaluated (four rest home and four hospital).  Clinical evaluation of residents following an adverse event is conducted by a registered nurse, however this was not always documented for residents following an unwitnessed fall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however, accident and incident forms were not completed for the current pressure injuries.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the requirement to notify relevant authorities in relation to essential notifications.  One section 31 notification was completed on the day of audit for a stage 4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evidenced in nine staff files randomly selected for review (one facility manager, one clinical manager, one registered nurse, two healthcare assistants, one activities coordinator, one cleaner, one laundry, and one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an orientation programme that provides new staff with relevant information for safe work practice.  Evidence of completed induction checklists were sighted in all eight staff files.  Annual staff appraisals were not all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and exceeds 8 hours annually.  Regular in-services are provided by a range of in-house and external speakers including but not limited to: nurse specialists, Aged Concern and the Health and Disability Advocacy Service.  However, attendance at the training provided has been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thirteen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67 residents (32 rest home, and 35 hospital).  The clinical manager works Monday to Friday.  In addition to the clinical manager there are two registered nurses rostered on a morning shift.  On an afternoon shift, there are two registered nurses and one registered nurse on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an am and pm shift there are nine healthcare assistants rostered on for full shifts and four rostered on nights.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around entry to services.  Prior to entry all potential residents have a needs assessment completed by the needs assessment and coordination service to assess suitability for entry to the service.  The facility manager and clinical manager screen all potential residents prior to entry and records all admission enquires in a hard copy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information pack on entry to services.  Residents and relatives interviewed confirmed they received information prior to admission and had the opportunity to discuss the admission agreement with the facility manager and the clinical manager.  The admission agreement form in use aligns with the requirements of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assess all residents on entry to service.  RNs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A transfer form accompanies residents to receiving facilities, with a transfer letter from the facility photocopied with accompanying relevant documentation, including medication charts.  When a resident wishes to leave the facility, the needs assessment and service coordination service is notified as reported by the registered nurse.  All relevant information is documented and communicated to the receiving health provider or service, notes are photocopied.  The residents and their families are involved for all exit or discharges to and from the service.  Staff could describe the referral and/or transfer processes and demonstrated an understanding of resident’s right to be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is a signed agreement with the pharmacy.  The RN checks all medications on delivery against the medication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Two residents were self-medicating on the day of audit.  The residents concerned did not have the required self-medication competencies in place with no documented supervision by the registered nurse.  Young persons are supported to self-medicate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one medication room and two medication trollies (one hospital and one rest home).  All medications were securely and appropriately stored.  The facility uses a robotic pack system.  Registered nurses, enrolled nurses, and senior healthcare assistants that are responsible for the administering of medications have completed annual medication competencies.  Registered nurses have completed annual syringe driver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folders include a list of specimen signatures.  Photo identification and allergy status were documented on all charts.  Eighteen medication charts (ten hospital and eight rest home) sampled, had been reviewed by the GP at least three monthly.  All resident medication administration signing-sheets corresponded with the medication chart.  The medication round was observed during the audit and medication process was noted to be correct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has temperatures recorded weekly and these are within acceptable ranges.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Cairnfield House are prepared and cooked on-site by a recently employed cook/kitchen manager (qualified chef) who has worked in the area of food preparation for many years.  A second cook covers her days off.  There are three kitchen assistants.  All staff have completed food safety training.  There is a six-weekly seasonal menu, which had been reviewed by a dietitian in July 2016.  Food preferences are met and staff can access the kitchen at any time to prepare a snack if a resident is hungry.  The cook receives a dietary profile of resident dietary requirements and any likes or dislikes including updates.  Special diets including modified foods and diabetic diets were provided at time of audit.  Food is stored correctly and safely.  Stock is rotated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dining rooms.  Fridge, freezer, walk in chiller and end cooked temperatures are monitored daily.  A kitchen cleaning schedule was documented and cleaning was of an acceptable standard.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 resident feedback on the meals and food services.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by management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Assessments were completed when there was a change to a resident’s health condition.  InterRAI assessments have not been completed for all residents within the required timeframes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are person centred, and includes physical, spiritual, psychosocial and social needs.  Care plans demonstrated service integration and documented input from allied health and specialist care professionals.  Family members interviewed confirm care delivery and support by staff is consistent with their expectations.  One YPD resident had an activity plan that specified individual goals, one of which was to learn a language.  The university was accessed and they have offered to assist the resident in meeting their goal by providing education and a resource person who will visit the facility.  Short-term care plans were in use for changes in health status and signed off as resolved or transferred to the long-term care plan.  Staff interviewed reported they found the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 files were reviewed for this audit [five hospital including one long-term support chronic health condition (LTS – CHC) and four rest home including one YPD, one ACC and one LTCHC].  All resident files reviewed had care plans in place.  When a resident's condition alters, the registered nurse initiates a review and if required, GP or nurse specialist consultation.  An activities plan is completed on admission and reviewed six-monthly with the care plan review.  Interview with the GP evidenced that care provided is of a high standard and the GP is kept informed in a timely manner.  Relatives interviewed stated care and support is good and that they are involved in the care planning.  There was documented evidence of relative contact for any changes to resident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not all completed as required or evaluated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enrolled nurse and RNs interviewed state there is adequate equipment provided, including continence and wound care supplies.  Wound assessment, wound management and evaluation forms were fully completed for all wounds reviewed.  A sample of wounds reviewed in detail included a link to STCPs and LTCPs.  There is DHB wound care specialist/district nursing input where needed.  Physiotherapy and dietitian input is provided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(ACs) work a total of fifty-four hours across a seven-day week, which they commenced one year ago.  There is a monthly varied and interesting activities programme.  A copy of the programme is in large print on the noticeboards and a copy is provided to residents and families.  Both ACs have health assistant backgrounds.  The activities coordinators have ensured there are a variety of activities, celebrations and outings to suit all residents including all ages and all abilities.  Church groups visit weekly and a Roman Catholic priest provides communion on a Sunday.  Seasonal events are celebrated.  Residents are preparing for a ‘resident ball’ in November.  Residents who prefer to stay in their rooms have one-on-one time, which may involve a chat, hand massage or being read to.  There are twice weekly van outings with visits to local places of interest, to other rest homes and there are sometimes boat trips on a Saturday.  There are ‘Apple Box’ sessions where residents and families can display activities and pictures taken at recent celebrations up on the big screen for all residents to enjoy.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resident admitted on a young person with disability contract, the ACs have introduced google sessions where the resident can research areas of interest, with one young resident assisted to return to their place of home for lunch, another has been assisted to learn their native language.  One resident helps with household chores and maintenance jobs.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strong links with community which involves visiting kindergartens, visiting animals, weekly RSA visits, music entertainers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Whiteboard sessions are provided where residents and families feedback on current activities and offer new ideas.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and activity plan is completed on admission in consultation with the resident/family (as appropriate) and reviewed monthly.  All nine of the resident files sampled had a documented activity plan.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in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evaluated by the RNs six-monthly or when changes to care occur.  Short-term care plans for short-term needs were evaluated and either resolved or added to the long-term care plan as an ongoing problem.  The multidisciplinary team, the resident and the family are involved in reviews.  There is at least a three-monthly review by the GP.  The family members interviewed confirmed they are involved in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resident files sampled.  The service facilitates access to other medical and non-medical services.  Referral documentation is maintained on resident files.  (Examples of referrals sighted, were to mental health services for the older person, physiotherapist, hospital specialists, speech language therapist, wound nurse, podiatrist and dietitian).  The service liaises closely with the needs assessment team, geriatrician, and mental health team for the older adult.  The residents and the families are kept informed of the referrals made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effective system of waste management in place.  Used linen is appropriately managed and all laundry is managed on-site.  Chemicals are supplied by an external contractor and stored securely throughout the facility when not in use.  Appropriate policies are available along with material safety datasheets.  Education on hazardous substances occurs.  There is appropriate signage throughout regarding chemical storage and hazards.  There is personal protective equipment available for use by staff and this was in use on the day of audit.  Staff interviewed (housekeeping staff, healthcare assistants, RNs) were knowledgeable about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June 2018.  The facility employs a full-time maintenance officer.  The maintenance officer is a member of Cairnfield House health &amp; safety committee.  There are proactive and reactive maintenance management plans in place.  Hot water temperatures are monitored and recorded monthly.  Where temperature has exceeded 45 degrees, the service has implemented corrective actions.  There is one shower room requiring repair of the wall panel gap, maintenance is aware and there is a plan in place to address this.  Electrical testing and tagging was last completed September 2016.  There are hazard management systems in place to ensure the physical environment minimises risk of harm, promotes safe mobility, aids independence and is appropriate to the needs of the residents and any visitors to the facility.  Residents have adequate internal space to meet their needs.  External areas are safe and well maintained.  The facility has a van available for transportation of residents.  Those transporting residents are designated drivers.  They hold a current driver’s license and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wings.  Each wing has a communal toilet and shower room.  There are six communal showers altogether.  Resident rooms have hand-washing facilities with soap dispensers and paper towels.  Communal bathroom and toilet facilities have a system that indicates if it is engaged or vacant.  Privacy is further maintained by additional curtains behind doors in some areas.  Equipment includes a shower trolley, commodes and shower chairs.  The fixtures, fittings, floors and wall surfaces are constructed from materials that can be easily cleaned.  Appropriately secured and approved handrails are provided in the toilet/shower/bathing areas, and other equipment/accessories are made available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where most activities take place.  Off this lounge is a large covered outdoor deck area, which is also utilised for activities.  Kauri wing and Puriri wing have two smaller lounge areas.  There is a large main dining area for all residents and a smaller dining area for those residents requiring assistance (staff were observed assisting residents with their meal at time of audit).  The lounges and dining rooms are accessible and accommodate the equipment required for the residents and includes places where young persons can find privacy within communal spaces.  The lounges and dining areas are large enough to cater for activities.  Residents are able to move freely through and around these areas and furniture is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laundry and housekeeping staff seven days a week.  Cleaning trolleys are kept in designated locked cupboards.  Residents and relatives expressed satisfaction with cleaning and laundry services.  The service has secure cupboards for the storage of cleaning chemicals.  Chemicals are labelled.  Material safety datasheets are displayed.  Cleaning processes are monitored for effectiveness and compliance with the service policies and procedures.  Cleaning staff have completed chemical safety training.  Internal audits monitor the effectiveness of the cleaning and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documented for the service.  Fire drills occur every six months at a minimum.  The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The service has access to a generator if required.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the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provided with adequate natural light, safe ventilation and in an environment that is maintained at a safe and comfortable temperature.  There is a designated external smoking area.  Residents and family interviewed confirm the facilities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Cairnfield House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as members of the infection control team.  Infection control is discussed at the staff meetings.  Minutes are available for staff.  Spot infection control audits have been conducted and include hand hygiene and infection control practices.  Education is provided for all new staff on orientation.  The infection control programme has been reviewed annually (last reviewed September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with support from the clinical manager.  There are adequate resources to implement the infection control programme for the size and complexity of the organisation.  The IC coordinator and IC team (comprising all staff) have good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Cairnfield House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education in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and provided to staff at facility meetings.  Outcomes and actions are discussed at facility meetings.  If there is an emergent issue, it is acted upon in a timely manner, however where infection rates have been above an acceptable benchmark, corrective actions have not always been documented (link 1.2.3.8).  Reports are easily accessible to the facility manager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The education and training programme includes regular in-service training on restraint minimisation.  Interviews with the care staff confirmed their understanding of restraints and enablers.  The service has a restraint-free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no residents using restraints and three hospital-level residents requesting bedrails as enablers.  Written consent was provided by the three residents for the use of their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4"/>
        <w:gridCol w:w="1280"/>
        <w:gridCol w:w="5386"/>
        <w:gridCol w:w="3467"/>
        <w:gridCol w:w="1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data (falls, skin tears, medication errors, infections, accident and incident and compliments/complaints).  Where areas requiring improvements were noted, corrective action plans were not consistently documented, reviewed or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quality data collected indicated areas requiring improvements (examples include: infections, falls, lacerations, fire safety and resident care plans), corrective action plans were not consistently documented.  Where actions are documented they have not consistently been reviewed and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 plans are documented, reviewed and signed out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in place which requires staff to document any untoward event on an accident and incident form.  On the day of audit there were two residents with pressure injuries (one hospital resident with a stage four, non-facility acquired PI and one rest home resident with a stage one PI facility acquired PI) that had not been documented on an accident and incident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and incident forms had not been completed for the two residents (one rest home and one hospital) with current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accident and incident forms are completed for all adverse events.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planner has been implemented and exceeds the provision of 8 hours of training on an annual basis.  Tool box talks are also provided for staff, which are related to current resident care needs.  Attendance at planned and mandatory education sessions has been low and no process is in place for staff who do not attend mandatory training.  In the staff files sampled, five of seven staff who required an annual performance review, had not had an annual performance review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Attendance at in-service training is consistently below 50%.  Where attendance has been low at mandatory training (fire safety, manual handling, and code of rights) there is no process in place for staff who do not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seven staff who were due for an annual performance review, had not had a performance review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is a process in place for staff who do not attend mandatory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performance reviews are completed for all staff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two hospital residents self-medicating on the day of audit.  Self-medication competencies required for both these residents were not documented and there was no evidence that the registered nurse was checking on each shift that the residents were taking their medication as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two hospital residents self-medicating had not had the required self-medication competencies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documented evidence that a registered nurse was checking that the residents who were self-medicating were taking their medication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residents who are self-medicating have medication competencies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registered nurse checks on each shift that the resident is taking the medication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initial assessment within twenty-four hours of admission and documents the initial care plan.  InterRAI assessments have not been completed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were not completed within 21 days for two of five hospital residents and one of four rest home resident files reviewed (all residents had resided at the facility for longer than three weeks.</w:t>
            </w:r>
          </w:p>
          <w:p w:rsidR="00EB7645" w:rsidRPr="00BE00C7" w:rsidP="00BE00C7">
            <w:pPr>
              <w:pStyle w:val="OutcomeDescription"/>
              <w:spacing w:before="120" w:after="120"/>
              <w:rPr>
                <w:rFonts w:cs="Arial"/>
                <w:b w:val="0"/>
                <w:lang w:eastAsia="en-NZ"/>
              </w:rPr>
            </w:pPr>
            <w:r w:rsidRPr="00BE00C7">
              <w:rPr>
                <w:rFonts w:cs="Arial"/>
                <w:b w:val="0"/>
                <w:lang w:eastAsia="en-NZ"/>
              </w:rPr>
              <w:t>(ii) InterRAI assessments were not completed at six monthly intervals for two of four rest home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contractual timeframes around resident InterRAI assessments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reviews information gathered through the use of monitoring charts to ensure interventions are documented in the care plans to reflect current care needs.  Monitoring charts sighted included (but not limited to) weight and vital signs, blood glucose, pain, food and fluid and repositioning charts.  There was no restraint on the day of audit.  Monitoring forms were not always completed as required following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(one hospital and one rest home) following unwitnessed fall did not have neurological observations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required monitoring of residents is completed as per the organisational policy for residents following an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18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