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Fairview Care Limited - Fairview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Fairview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Fairview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25 July 2017</w:t>
      </w:r>
      <w:bookmarkEnd w:id="7"/>
      <w:r w:rsidRPr="009418D4">
        <w:rPr>
          <w:rFonts w:cs="Arial"/>
        </w:rPr>
        <w:tab/>
        <w:t xml:space="preserve">End date: </w:t>
      </w:r>
      <w:bookmarkStart w:id="8" w:name="AuditEndDate"/>
      <w:r w:rsidR="00A4268A">
        <w:rPr>
          <w:rFonts w:cs="Arial"/>
        </w:rPr>
        <w:t>26 July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Fairview Care provides rest home and hospital level care for up to 47 residents. The service is privately owned and operated with a Chief Executive Officer (CEO) who is the representative for the operators. The facility is managed by the Sales and Administration Manager and the Care Manager who is a registered nurse. Both the managers have held other positions at the facility, with their new management roles being established in May 2017. 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the CEO and contracted allied health providers. The general practitioner was not available for interview on the days of audit. </w:t>
      </w:r>
    </w:p>
    <w:p w:rsidRPr="00A4268A">
      <w:pPr>
        <w:spacing w:before="240" w:line="276" w:lineRule="auto"/>
        <w:rPr>
          <w:rFonts w:eastAsia="Calibri"/>
        </w:rPr>
      </w:pPr>
      <w:r w:rsidRPr="00A4268A">
        <w:rPr>
          <w:rFonts w:eastAsia="Calibri"/>
        </w:rPr>
        <w:t xml:space="preserve">This audit has resulted in all requirements being fully met.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Health and Disability Commissioner`s Code of Health and Disability Services Consumers` Rights (the Code) is made available to residents. Opportunities to discuss the Code, consent and availability of advocacy services is provided at the time of admission and thereafter as required.</w:t>
      </w:r>
    </w:p>
    <w:p w:rsidRPr="00A4268A">
      <w:pPr>
        <w:spacing w:before="240" w:line="276" w:lineRule="auto"/>
        <w:rPr>
          <w:rFonts w:eastAsia="Calibri"/>
        </w:rPr>
      </w:pPr>
      <w:r w:rsidRPr="00A4268A">
        <w:rPr>
          <w:rFonts w:eastAsia="Calibri"/>
        </w:rPr>
        <w:t>Services are provided that respect the choices, personal privacy, independence, individual needs and dignity of residents and staff were noted to be interacting with residents in a respectful manner.</w:t>
      </w:r>
    </w:p>
    <w:p w:rsidRPr="00A4268A">
      <w:pPr>
        <w:spacing w:before="240" w:line="276" w:lineRule="auto"/>
        <w:rPr>
          <w:rFonts w:eastAsia="Calibri"/>
        </w:rPr>
      </w:pPr>
      <w:r w:rsidRPr="00A4268A">
        <w:rPr>
          <w:rFonts w:eastAsia="Calibri"/>
        </w:rPr>
        <w:t>There were no residents at Fairview Care who identified as Maori. There is a Maori Health Plan and policies and procedures in place to guide staff should this be required. There was no evidence of abuse, neglect or discrimination and staff interviewed understood and implemented related policies. Professional boundaries are understood and maintained by staff.</w:t>
      </w:r>
    </w:p>
    <w:p w:rsidRPr="00A4268A">
      <w:pPr>
        <w:spacing w:before="240" w:line="276" w:lineRule="auto"/>
        <w:rPr>
          <w:rFonts w:eastAsia="Calibri"/>
        </w:rPr>
      </w:pPr>
      <w:r w:rsidRPr="00A4268A">
        <w:rPr>
          <w:rFonts w:eastAsia="Calibri"/>
        </w:rPr>
        <w:t>Open communication between staff, residents and families is promoted, and was confirmed to be effective. There is access to formal interpreting services if required.</w:t>
      </w:r>
    </w:p>
    <w:p w:rsidRPr="00A4268A">
      <w:pPr>
        <w:spacing w:before="240" w:line="276" w:lineRule="auto"/>
        <w:rPr>
          <w:rFonts w:eastAsia="Calibri"/>
        </w:rPr>
      </w:pPr>
      <w:r w:rsidRPr="00A4268A">
        <w:rPr>
          <w:rFonts w:eastAsia="Calibri"/>
        </w:rPr>
        <w:t>The service has linkages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 xml:space="preserve">A complaints register is maintained with complaints resolved promptly and effectively.  At the time of audit, there is one open complaint, received via the Waitemata District Health Board (WDHB), awaiting a response from the DHB.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undertaken. Two suitably qualified persons manage the day to day operations of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using integrated electronic and hard copy records.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organisation works closely with the local Needs Assessment and Service Co-ordination Service to ensure access to the facility is appropriate and efficiently managed. When a vacancy occurs, sufficient and relevant information is provided to the potential resident and family to facilitate the admission.</w:t>
      </w:r>
    </w:p>
    <w:p w:rsidRPr="00A4268A" w:rsidP="00621629">
      <w:pPr>
        <w:spacing w:before="240" w:line="276" w:lineRule="auto"/>
        <w:rPr>
          <w:rFonts w:eastAsia="Calibri"/>
        </w:rPr>
      </w:pPr>
      <w:r w:rsidRPr="00A4268A">
        <w:rPr>
          <w:rFonts w:eastAsia="Calibri"/>
        </w:rPr>
        <w:t>Residents` needs are assessed by the multidisciplinary team on admission within the required timeframes. Registered nurses are on duty 24 hours each day in the facility and are supported by care and allied health staff and two designated general practitioners. On call arrangements for support from senior staff are in place. Shift handovers and communication sheets guide continuity of care.</w:t>
      </w:r>
    </w:p>
    <w:p w:rsidRPr="00A4268A" w:rsidP="00621629">
      <w:pPr>
        <w:spacing w:before="240" w:line="276" w:lineRule="auto"/>
        <w:rPr>
          <w:rFonts w:eastAsia="Calibri"/>
        </w:rPr>
      </w:pPr>
      <w:r w:rsidRPr="00A4268A">
        <w:rPr>
          <w:rFonts w:eastAsia="Calibri"/>
        </w:rPr>
        <w:t xml:space="preserve">Care plans reviewed are individualised and based on an integrated range of clinical information. Short term care plans are developed to manage any new problems that might arise. All residents` files reviewed demonstrated that needs, goals and outcomes were identified and reviewed on a regular basis. Residents and families interviewed reported being well informed and involved in the care planning and evaluation and that the care provided is of a high standard. Residents are referred or transferred to other health services as required, with appropriate verbal and written handovers provided. </w:t>
      </w:r>
    </w:p>
    <w:p w:rsidRPr="00A4268A" w:rsidP="00621629">
      <w:pPr>
        <w:spacing w:before="240" w:line="276" w:lineRule="auto"/>
        <w:rPr>
          <w:rFonts w:eastAsia="Calibri"/>
        </w:rPr>
      </w:pPr>
      <w:r w:rsidRPr="00A4268A">
        <w:rPr>
          <w:rFonts w:eastAsia="Calibri"/>
        </w:rPr>
        <w:t>The planned activities programme provides residents with a variety of individual and group activities and maintains their links with the community. A contracted service is used for van outings in the community fortnightly.</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only, all of whom have been assessed as competent to do so.</w:t>
      </w:r>
    </w:p>
    <w:p w:rsidRPr="00A4268A" w:rsidP="00621629">
      <w:pPr>
        <w:spacing w:before="240" w:line="276" w:lineRule="auto"/>
        <w:rPr>
          <w:rFonts w:eastAsia="Calibri"/>
        </w:rPr>
      </w:pPr>
      <w:r w:rsidRPr="00A4268A">
        <w:rPr>
          <w:rFonts w:eastAsia="Calibri"/>
        </w:rPr>
        <w:t xml:space="preserve">The food service meets the nutritional needs of the residents with special needs catered for. A food safety plan and policies guide food service delivery, supported by staff with food safety qualifications. The kitchen was well organised, clean and meets food safety standards. Residents verified satisfaction with meals.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a restraint free environment. Seven enablers and no restraints were in use at the time of audit.  A comprehensive assessment is undertaken prior to the use of enablers. Appropriate approval, review and monitoring process are fully described in policy should restraint be required.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and co-ordinator role is shared by two registered nurses. The programme aims to prevent and manage infections. Specialist infection prevention and control advice is able to be accessed from the district health board, a community microbiologist, the general practitioners and</w:t>
      </w:r>
    </w:p>
    <w:p w:rsidRPr="00A4268A">
      <w:pPr>
        <w:spacing w:before="240" w:line="276" w:lineRule="auto"/>
        <w:rPr>
          <w:rFonts w:eastAsia="Calibri"/>
        </w:rPr>
      </w:pPr>
      <w:r w:rsidRPr="00A4268A">
        <w:rPr>
          <w:rFonts w:eastAsia="Calibri"/>
        </w:rPr>
        <w:t xml:space="preserve"> an infectious disease physician at the DHB. The programme is reviewed annually. </w:t>
      </w:r>
    </w:p>
    <w:p w:rsidRPr="00A4268A">
      <w:pPr>
        <w:spacing w:before="240" w:line="276" w:lineRule="auto"/>
        <w:rPr>
          <w:rFonts w:eastAsia="Calibri"/>
        </w:rPr>
      </w:pPr>
      <w:r w:rsidRPr="00A4268A">
        <w:rPr>
          <w:rFonts w:eastAsia="Calibri"/>
        </w:rPr>
        <w:t>Staff demonstrated good principles and practice around infection prevention and control, which is guided by relevant policies and supported with regular education.</w:t>
      </w:r>
    </w:p>
    <w:p w:rsidRPr="00A4268A">
      <w:pPr>
        <w:spacing w:before="240" w:line="276" w:lineRule="auto"/>
        <w:rPr>
          <w:rFonts w:eastAsia="Calibri"/>
        </w:rPr>
      </w:pPr>
      <w:r w:rsidRPr="00A4268A">
        <w:rPr>
          <w:rFonts w:eastAsia="Calibri"/>
        </w:rPr>
        <w:t>Aged care specific infection surveillance is undertaken, analysed and trended and results are reported through all levels of the organisation Follow-up action is taken as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07"/>
        <w:gridCol w:w="1280"/>
        <w:gridCol w:w="955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Fairview Care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healthcare assistants interviewed understand the principles and practice of informed consent. Informed consent policies provide relevant guidance to staff. Clinical records reviewed showed that informed consent has been gained appropriately using the organisation`s standard consent form including for photographs and outings</w:t>
            </w:r>
          </w:p>
          <w:p w:rsidR="00EB7645" w:rsidRPr="00BE00C7" w:rsidP="00BE00C7">
            <w:pPr>
              <w:pStyle w:val="OutcomeDescription"/>
              <w:spacing w:before="120" w:after="120"/>
              <w:rPr>
                <w:rFonts w:cs="Arial"/>
                <w:b w:val="0"/>
                <w:lang w:eastAsia="en-NZ"/>
              </w:rPr>
            </w:pPr>
            <w:r w:rsidRPr="00BE00C7">
              <w:rPr>
                <w:rFonts w:cs="Arial"/>
                <w:b w:val="0"/>
                <w:lang w:eastAsia="en-NZ"/>
              </w:rPr>
              <w:t>Documenting enduring power of attorney (EPOA) requirements and processes for residents unable to consent is defined and was documented where relevant in the individual resident`s records reviewed. Staff demonstrated their understanding by being able to explain situations when this may occur.</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which also includes information on the Advocacy Service. Posters related to the Advocacy Service were also displayed in the facility, and additional pamphlets were available at reception. Family members and residents interviewed were aware of the Advocacy Service, how to access this and their right to have support persons/representatives as they wished. </w:t>
            </w:r>
          </w:p>
          <w:p w:rsidR="00EB7645" w:rsidRPr="00BE00C7" w:rsidP="00BE00C7">
            <w:pPr>
              <w:pStyle w:val="OutcomeDescription"/>
              <w:spacing w:before="120" w:after="120"/>
              <w:rPr>
                <w:rFonts w:cs="Arial"/>
                <w:b w:val="0"/>
                <w:lang w:eastAsia="en-NZ"/>
              </w:rPr>
            </w:pPr>
            <w:r w:rsidRPr="00BE00C7">
              <w:rPr>
                <w:rFonts w:cs="Arial"/>
                <w:b w:val="0"/>
                <w:lang w:eastAsia="en-NZ"/>
              </w:rPr>
              <w:t>Staff were aware of how to access the advocacy service if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maintain their independence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Fairview Care and felt comfortable when dealing with management and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six complaints have been received over the past year and that for five of the complaints actions taken, through to an agreed resolution, are documented and completed within the timeframes.  Two of the six complaints were via the WDHB. One was opened on the 16 May 2016 and closed on 6 January 2017 as confirmed in documentation sighted. A detailed completed corrective action plan was sighted. The second WDHB complaint was received by the facility on 29 June 2017 and a reply has been sent to the WDHB covering all issues raised. The facility is awaiting a response.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 internal complaints, action plans show any required follow-up and improvements have been made where possible.  All internal complaints have been resolved. The care manager is responsible for complaints management and follow-up.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 being made aware of the Code and the Nationwide Health and Disability Advocacy Service through the information package provided as part of the admission process and the discussions with the registered nurses. The staff also explained how to make a complaint and the location of the feedback forms. The Code was displayed in all service areas and at the reception. There is a pamphlet stand at reception with information about complaints, advocacy services and a booklet about the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that they receive services in a manner that has regard for their dignity, privacy, sexuality, spirituality and choices.</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(eg, when attending to personal cares, ensuring resident information is held securely and privately and when exchanging verbal information). All residents have their own private room. Consent is obtained as part of the admission process to have the resident`s name on the door of their room.</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independence by participating in community activities and participation in clubs of their choosing. Each care plan included documentation related to the resident`s abilities, and strategies to maximise independence.</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each resident`s individual cultural, religious and social needs, values and beliefs had been identified, documented and incorporated into their individual care plan</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in the staff training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or staff in the service at the time of audit who identify as Maori. The principles of the Treaty of Waitangi are incorporated into day to day practice, as is the importance of family/whanau to residents. There is a Maori health plan developed to guide staff. Cultural advisers can be sought through the DHB if and when required. Guidance on tikanga best practice is available and accessible in the service policy manual.  Staff interviewed have a good understanding of tikanga and stated that they would respect the individual cultural needs for any Maori resident admitted for ongoing care and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all care plans reviewed. A resident satisfaction survey includes evaluation of how well residents` cultural needs are met and this supported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and secure. </w:t>
            </w:r>
          </w:p>
          <w:p w:rsidR="00EB7645" w:rsidRPr="00BE00C7" w:rsidP="00BE00C7">
            <w:pPr>
              <w:pStyle w:val="OutcomeDescription"/>
              <w:spacing w:before="120" w:after="120"/>
              <w:rPr>
                <w:rFonts w:cs="Arial"/>
                <w:b w:val="0"/>
                <w:lang w:eastAsia="en-NZ"/>
              </w:rPr>
            </w:pPr>
            <w:r w:rsidRPr="00BE00C7">
              <w:rPr>
                <w:rFonts w:cs="Arial"/>
                <w:b w:val="0"/>
                <w:lang w:eastAsia="en-NZ"/>
              </w:rPr>
              <w:t>The staff induction/orientation process includes education related to professional boundaries and expected behaviours. All registered nurses have completed the required training on professional boundaries as required for maintaining their annual practising certificates. Staff are provided with a Code of conduct in both the staff orientation booklet and their individual employment contract.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evidence based policies and procedures and input from external specialist services and allied health professionals, for example, the hospice, diabetes nurse specialists, the gerontology nurse specialist from the DHB, physiotherapist, wound care nurse specialist.  The community dietitian and services for older people, inclusive of mental health and other specialist groups, are also available on a referral basis when needed.</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they were kept well informed about any changes to their/their relative`s condition and health status and were advised in a timely manner about any incidents or accidents and outcomes of regular and any urgent medical reviews. This was supported in residents` records reviewed. Any communication with family is recorded on the family contact record in the front of each resident’s records reviewed. There was also evidence of resident/family input into care planning and care plan reviews.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able to be accessed through the DHB when required. Staff knew how to do so, although reported this rarely occurs due to staff being able to provide interpretation as and when needed, the use of family members and other means of communication for residents for whom English is not their first language.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 annual and longer-term objectives and the associated operational plans. A sample of monthly minutes and quality and risk data is reported to the CEO monthly. This provides adequate information to monitor performance. The CEO reports to the board and this includes emerging risks and issues that arise.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two managers. The care manager (RN) is responsible for clinical issues and holds a post-graduate master’s degree in nursing. The sales and administration manager is responsible for other matters and non-clinical staff. The sales/administration manager has worked at the facility for eight years and the care manager for three years and are currently undertaking a management leadership course for which they have completed three papers. Both managers have held other roles in the organisation and have been in their management roles since May 2017. They maintain ongoing education related to their roles. Responsibilities and accountabilities are defined in a job description and individual employment agreement.  The managers confirmed knowledge of the sector, regulatory and reporting requirements.  The managers feel supported by the CEO and other senior members of staff who work in the village located in the same building.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a WDHB contract for the provision of Age Related Residential Care Services which all 44 current residents were receiving services under at the time of audit. The WDHB have a primary options contract with local primary health organisations and they sometimes refer these residents to Fairview Care. This contract was not being utilised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care manager is absent, the most senior RN carries out the clinical aspects of the role and when the sales and administrator manager is absent the administrator undertakes the required tasks. Management staff have not yet taken any leave but confirmed that delegated authority of their roles will only be undertaken by competent, experienced and appropriately trained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patient satisfaction survey, monitoring of outcomes, clinical incidents including infections, bruising, skin tears and wounds.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all levels of services and at all staff meetings. A copy of meeting minutes and quality data is proved to the CEO monthly. Also, the two managers have a weekly informal catch-up with the CEO and the sessions are diarised but not formally minuted. Staff reported their involvement in quality and risk management activities through special projects, such as the reduction of bruising, audit activities, and corrective action follow-ups. Relevant corrective actions are developed and implemented to address any shortfalls. Resident and family satisfaction surveys are completed six weeks following admission and then in February each year. The most recent survey showed that issues raised are fully addressed and if the person who raised the issue is identified they are fully informed of the actions taken and the outcome. This was confirmed during family and resident interviews.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managers described the processes for the identification, monitoring, review and reporting of risks and development of mitigation strategies. The managers are familiar with the Health and Safety at Work Act (2015) and have implemented requirements.  A detailed ‘Work Safe’ programme is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incidents were investigated, action to be taken are documented in the resident’s progress notes, care plans are changed as required and actions followed-up in a timely manner.  Adverse event data is collated, analysed and reported to the care manager and collated information is shared with all staff at meetings. </w:t>
            </w:r>
          </w:p>
          <w:p w:rsidR="00EB7645" w:rsidRPr="00BE00C7" w:rsidP="00BE00C7">
            <w:pPr>
              <w:pStyle w:val="OutcomeDescription"/>
              <w:spacing w:before="120" w:after="120"/>
              <w:rPr>
                <w:rFonts w:cs="Arial"/>
                <w:b w:val="0"/>
                <w:lang w:eastAsia="en-NZ"/>
              </w:rPr>
            </w:pPr>
            <w:r w:rsidRPr="00BE00C7">
              <w:rPr>
                <w:rFonts w:cs="Arial"/>
                <w:b w:val="0"/>
                <w:lang w:eastAsia="en-NZ"/>
              </w:rPr>
              <w:t>The care manager described essential notification reporting requirements, including for pressure injuries.  They advised there have been no notifications of significant events made to the Ministry of Health, since the previous audit. Two complaints received by the WDHB had been fully documented with all actions required to date completed. Refer comments in criterion 1.1.13.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 quarterly basis, including mandatory training requirements. Care staff have either completed or commenced a New Zealand Qualification Authority education programme to meet the requirements of the provider’s agreement with the DHB. A staff member is the internal assessor for the programme.   There are sufficient trained and competent registered nurses who are maintaining their annual competency requirements to undertake interRAI assessments. Three RNs hold full competencies and two further RNs are undertaking their interRAI training. (All residents had a current interRAI assessment).  Records reviewed demonstrated completion of the required training and completion of annual performance appraisals.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a six weeks of rosters confirmed adequate staff cover has been provided, with staff replaced in any unplanned absence.  At least one staff member on duty has a current first aid certificate and there is 24 hour/seven days a week RN coverage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changing over from hard copy records to an electronic system. Since 10 July 2017, the personal information records, assessment records, care plans and progress records are all maintained electronically. The next stage is the transferring of the clinical/medical records which are being currently scanned into the system along with diagnostic results, referrals to other health providers and general information and communication records. The general practitioner is already entering clinical information onto the new system. Training sessions are being held on a regular basis, as each section of records is transferred into the new system.</w:t>
            </w:r>
          </w:p>
          <w:p w:rsidR="00EB7645" w:rsidRPr="00BE00C7" w:rsidP="00BE00C7">
            <w:pPr>
              <w:pStyle w:val="OutcomeDescription"/>
              <w:spacing w:before="120" w:after="120"/>
              <w:rPr>
                <w:rFonts w:cs="Arial"/>
                <w:b w:val="0"/>
                <w:lang w:eastAsia="en-NZ"/>
              </w:rPr>
            </w:pPr>
            <w:r w:rsidRPr="00BE00C7">
              <w:rPr>
                <w:rFonts w:cs="Arial"/>
                <w:b w:val="0"/>
                <w:lang w:eastAsia="en-NZ"/>
              </w:rPr>
              <w:t>The national health index number for each individual resident is recorded on all residents` information as sighted. All necessary demographic, personal, clinical and health information was fully completed in the residents` files reviewed. The hard copy records contain minimal records; however each page is labelled, is legible and all entries are signed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able to be retrieved using an appropriate system if required. Residents` records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enter the service when their required level of care has been assessed and confirmed by the local Needs Assessment and Service Co-ordination (NASC) Service. The nurse manager or registered nurses (RNs) are responsible for the admission process. There is a comprehensive information pack for all new residents which includes the mission statement, philosophy, complaints/concerns and where the forms are located in the facility. Information about cultural support and the general practitioner (GP) visit days are included in the information provided to the resident/family/representative. The organisation seeks updated information from the NASC and/or the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that they were satisfied with the admission process and the information that had been made available to them on admission. Records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along with all relevant information about the resident to facilitate transfer of residents to and from acute care services. There is open communication between services, the resident and the family. At the time of transition between services, appropriate information, including a copy of the medication records is provided for the ongoing management of the resident. All referrals are documented in the progress records. Family of the residents transferred to the DHB are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is current and identifies all aspects of medicine management in line with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using an electronic system was observed on the day of audit. The staff observed were registered nurses and both demonstrated good knowledge and had a clear understanding of their roles and responsibilities related to each stage of medicine management. All staff who administer medicines are competent to perform the function they manage.</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from a contracted pharmacist in a pre-packaged format. These medication are checked by the registered nurses against the prescription. All medications sighted were within current use by dates. Clinical pharmacist input is provided on request and pharmacy audits are performed six-monthly.</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registered nurses weekly as recorded and verified.</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and the medication room were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were noted and verified with the pharmacy audit outcomes. All requirements for pro re nata (PRN) medicines were met. The required three-monthly GP review is consistently recorded on the medicine chart.</w:t>
            </w:r>
          </w:p>
          <w:p w:rsidR="00EB7645" w:rsidRPr="00BE00C7" w:rsidP="00BE00C7">
            <w:pPr>
              <w:pStyle w:val="OutcomeDescription"/>
              <w:spacing w:before="120" w:after="120"/>
              <w:rPr>
                <w:rFonts w:cs="Arial"/>
                <w:b w:val="0"/>
                <w:lang w:eastAsia="en-NZ"/>
              </w:rPr>
            </w:pPr>
            <w:r w:rsidRPr="00BE00C7">
              <w:rPr>
                <w:rFonts w:cs="Arial"/>
                <w:b w:val="0"/>
                <w:lang w:eastAsia="en-NZ"/>
              </w:rPr>
              <w:t>There are no residents who self-administer medications at the time of audit. Appropriate policies are in place to ensure this is manged if needed in a safe manner.</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are reported to the nurse manager on an incident form. The resident and/or designated representative are advised. There is a process for comprehensive analysis of any medication errors, and compliance with this process was verified.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only one standing order used for management of anticoagulant medication which is current and complies with guidelines.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has recently changed over from using a contracted service provider back to the organisation employing a qualified chef, a senior cook and kitchen team. This change occurred 1 June 2017.  The same team are now employed by the service provider, with the addition of the experienced cook. The services provided are in line with recognised nutritional guidelines for older people. The four-week menu plans have recently been reviewed by a contracted dietitian. Any recommendations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The chef interviewed is responsible for all aspects of food procurement, production, preparation, storage, transportation, delivery and disposal. All current legislation and guidelines meet compliance requirements.  The service operates with an approved food safety plan and the registration expires 21 September 2017. Food temperatures, including high risk items, are monitored appropriately and recorded as part of the plan. All staff who work in the kitchen have attended relative education and certificates were sighted.</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individual resident on admission to the facility and a dietary profile is developed. The personal food preferences, any special diets and modified texture requirements are made known to the kitchen staff and accommodated in the daily menu plan. The daily meal plan is displayed in the dining room. Special equipment/resources, for example lipped plates, to meet resident`s individual nutritional needs are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 and family interviews, satisfaction surveys (last completed 26 May 2017) and residents’ meeting minutes. Residents were seen to be give adequate time to eat their meal in an unhurried fashion and those requiring assistance had this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no vacancy, the local NASC is advised to ensure the prospective resident and family are supported to find a more appropriate care alternative. If the needs of the resident change and they are no longer suitable for the services offered, a referral for a reassessment to the NASC is made and a new placement found, in consultation with the resident and family/whanau. Examples of this occurring were discussed with the nurse manager, such as a resident requiring a secure dementia service or a dementia care service.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documented using validated nursing assessment tools such as pain scale, falls risk, skin integrity, nutritional screening and depression scale, as a means to identify any deficits and to inform care planning. The sample of care plans reviewed had an integrated range of resident related information. All residents have current interRAI assessments completed by the three interRAI trained assessors on site.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reflected the support needs of residents, and the outcomes of the integrated assessment process and other relevant clinical information. The care plans evidence service integration with progress notes, activities notes, medical and allied health professional`s notations clearly documented, informative and relevant. Any change in care required is documented and verbally passed on to relevant staff. Residents and families interviewed reported participation in the development and ongoing evaluation of the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meeting their needs, goals and the plan of care. The attention to a diverse range of resident`s individualised needs was evident in all areas of service provision.  A range of equipment and resources was available, suited to the level of care provided and in accordance with the residents` identified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an experienced activities co-ordinator who has been in the role for two years.</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is undertaken on admission to ascertain individual residents` needs, interests, abilities and social requirements. Activities assessments are regularly reviewed to help formulate an activities programme that is meaningful to the residents. The resident’s activity needs are evaluated six monthly as part of the six monthly care plan review.</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clearly matches the skills, likes, dislikes and interests identified during the assessment process. Activities reflected residents` goals, ordinary patterns of life and included normal community activities. Individual, group activities and regular events are offered. Examples include coffee club, exercise to music, general topic quiz and games, mind-games, chair bowls, entertainment and one-on-one activities, such as newspaper reading, nail cares, reading novels and/or just talking about the day.  All residents receive a weekly activities programme and the programme is also displayed in various locations around the facility. Bus trips are held fortnightly and a contracted total mobility van is available. A market day was held at the facility during the audit and residents enjoyed participating for those that were able to do so.</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discussed at the minuted residents` meetings and indicated residents` input is sought and responded to. Resident and family satisfaction surveys demonstrated satisfaction with the programme and that information is used to improve the range of activities offered. Residents interviewed confirmed that they find the programme fun, interesting and varied.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is evaluated on each shift and reported in the progress notes. If any change is noted, it is reported to the RN.</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a resident`s needs change. The evaluations are recorded electronically by the registered nurse. Where progress is different from expected, the service responds by initiating changes to the care plan. Examples of short term care plans were consistently reviewed as required and progress evaluated as clinically indicated and according to the degree of risk noted during the assessment process. Other plans, such as wound care and pressure injury plans, were evaluated each time the dressing was changed. Residents and families/whanau interviewed provided examples of involvement in evaluation of progress and any resulting changes. The family communication record is also updated in the front of the resident`s individual record.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The service has two general practitioners who cover this service. If the need for non-urgent services is indicated or requested, the GP sends a referral to seek specialist input. Copies of referrals were sighted in the hard copy resident`s records, including referrals to outpatient services at the DHB and/or in the community. Referrals are followed up as required by the GP. The resident and the family are kept well informed of the referral process, as verified in the documentation and interviews. Any acute/urgent referrals are attended to immediately, such as sending the resident to the nearest twenty four hour emergency centre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Staff who handle chemicals had undertaken annual safe chemical handling education.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22 February 2018,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(July 2017) and calibration of bio-medical equipment (April 2017) was current as confirmed in documentation reviewed, interviews with maintenance personnel and observation of the environment.  Efforts are made to ensure the environment is hazard free, that residents are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they know the processes they should follow if any repairs or maintenance is required, any requests are appropriately actioned and that they are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the facility.   All bedrooms have full ensuite facilities. Appropriately secured and approved handrails are provided in the toilet/shower areas, and other equipment/accessories are available to promote residents’ independence.  There are clearly identified visitor bathrooms and staff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 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which is well equipped. Laundry machinery is maintained six-monthly by an approved provider. Dedicated laundry staff demonstrated a sound knowledge of the laundry processes, dirty/clean flow and handling of soiled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processes are monitored through the internal audit programme and by the chemical provider who undertakes six monthly monitoring checks and documents the findings.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were displayed and known to staff. Disaster and civil defence planning guides direct the facility in their preparation for disasters and describe the procedures to be followed in the event of a fire or other emergency.   The current fire evacuation plan was approved by the New Zealand Fire Service on the 27 February 2006.  A trial evacuation takes place six-monthly with a copy sent to the New Zealand Fire Service, the most recent being on 8 June 2017. This identified that not all RNs, who are the nominated fire wardens, were fully aware of their duties in an emergency. This resulted in additional education being put in place to ensure they fully understood the required actions to take. This was confirmed in documentation sighted and during RN interviews.</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47 residents. The emergency supplies are managed by the village staff (located in the same building but on a different level) and are clearly labelled.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are in place. Doors and windows are locked at a predetermined time and staff on duty check doors and windows.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19 of the 47 bedrooms have direct access to outdoor areas via a ranch-slider door. Underfloor electric thermostat control heating is provided in residents’ rooms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 managed environment that minimises the risk of infection to residents, staff and visitors by the implementation of an appropriate infection prevention and control programme. Infection control management is guided by a comprehensive and current infection control manual, developed with input from a quality management consultant. The infection control programme and manual are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nurses sharing the role of infection prevention and control coordinator have their responsibilities defined in a job description. Infection control matters, including surveillance results, are reported monthly to the nurse manager and presented at the registered nurses meeting and at the quality meeting. The committee consists of the nurse manager and the two registered nurses.</w:t>
            </w:r>
          </w:p>
          <w:p w:rsidR="00EB7645" w:rsidRPr="00BE00C7" w:rsidP="00BE00C7">
            <w:pPr>
              <w:pStyle w:val="OutcomeDescription"/>
              <w:spacing w:before="120" w:after="120"/>
              <w:rPr>
                <w:rFonts w:cs="Arial"/>
                <w:b w:val="0"/>
                <w:lang w:eastAsia="en-NZ"/>
              </w:rPr>
            </w:pPr>
            <w:r w:rsidRPr="00BE00C7">
              <w:rPr>
                <w:rFonts w:cs="Arial"/>
                <w:b w:val="0"/>
                <w:lang w:eastAsia="en-NZ"/>
              </w:rPr>
              <w:t>Signage is used in the lifts and at the main entrance to the facility requesting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role of the infection prevention and control coordinator is shared between two registered nurses. Both registered nurses have the skill, knowledge and qualifications for the role. The two registered nurses have completed a post-graduate certificate in infection prevention and control. In addition to this, have completed the Ministry of Health (MoH) online infection control education.</w:t>
            </w:r>
          </w:p>
          <w:p w:rsidR="00EB7645" w:rsidRPr="00BE00C7" w:rsidP="00BE00C7">
            <w:pPr>
              <w:pStyle w:val="OutcomeDescription"/>
              <w:spacing w:before="120" w:after="120"/>
              <w:rPr>
                <w:rFonts w:cs="Arial"/>
                <w:b w:val="0"/>
                <w:lang w:eastAsia="en-NZ"/>
              </w:rPr>
            </w:pPr>
            <w:r w:rsidRPr="00BE00C7">
              <w:rPr>
                <w:rFonts w:cs="Arial"/>
                <w:b w:val="0"/>
                <w:lang w:eastAsia="en-NZ"/>
              </w:rPr>
              <w:t>There are already well-established links with the DHB infection control team and expert advice can be sought from the GPs, the microbiologist from the community laboratory and the infection control specialists at the DHB if and when required. The registered nurses are able to access the residents` records and diagnostic results to ensure timely treatment and resolution of any infection.</w:t>
            </w:r>
          </w:p>
          <w:p w:rsidR="00EB7645" w:rsidRPr="00BE00C7" w:rsidP="00BE00C7">
            <w:pPr>
              <w:pStyle w:val="OutcomeDescription"/>
              <w:spacing w:before="120" w:after="120"/>
              <w:rPr>
                <w:rFonts w:cs="Arial"/>
                <w:b w:val="0"/>
                <w:lang w:eastAsia="en-NZ"/>
              </w:rPr>
            </w:pPr>
            <w:r w:rsidRPr="00BE00C7">
              <w:rPr>
                <w:rFonts w:cs="Arial"/>
                <w:b w:val="0"/>
                <w:lang w:eastAsia="en-NZ"/>
              </w:rPr>
              <w:t>There are two infection prevention and control outbreak kits available and additional resources to support the programme and any outbreak of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reflect the requirements of the infection prevention and control standard and current accepted good practice. Policies were last reviewed February 2017 and include appropriate referencing. Staff were observed following organisational policies, such as appropriate use of hand-sanitisers, good handwashing technique and use of disposable aprons, gloves and hats, as appropriate to the setting. Hand washing and sanitiser dispensers are readily available around the facility.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Priorities for staff education are outlined in the infection control programme annual plan. Interviews, observation and documentation verified staff have received education in infection prevention and control at the time of orientation and ongoing education sessions. Education is provided by the two infection control coordinators. The content of the training is documented and evaluated to ensure it is relevant, current and understood. A record of staff attendance is maintained. There has been no outbreak of infection since the last audit. The RNs interviewed stated that when an infection outbreak or an increase in infection incidence occurs, additional staff education would be provided. Education provided to residents is usually on a one-to-one basis and includes reminders about handwashing or staying in their own rooms if applicable.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skin infections, gastro-intestinal, and upper and lower respiratory tract infections. When an infection is identified, a record is documented on the infection record sheet in the resident`s individual records. The infection control coordinators review all reported infections. Monthly surveillance data is collated and analysed to identify any trends, possible causative factors and required actions. Any new infections and any required management plans are discussed at handover, to ensure early intervention occurs. Results of the surveillance programme are shared with staff at the registered nurse meetings, staff meetings and at time of handover between shifts. Any trends identified are reported to the nurse manager. The service has provided assurance that infection rates in this facility are below average. Comparisons with previous months is summarised and reviewed annually when the programme objectives are set.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The restraint coordinator (RN) provides support and oversight for enabler and restraint management in the facility and demonstrated a sound understanding of the organisation’s policies, procedures and practice and her/his role and responsibilities. The facility is restraint free. Approved enablers are bedside loops, monkey bars and bedside rails.</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no residents were using restraints and seven residents were using enablers, which were the least restrictive and used voluntarily at their request. Residents are assessed prior to enablers being used and consent forms were signed. During interview with two residents using enablers they confirmed the equipment being used allowed them to move around independently. (One bedside rail and one monkey bar).  This was confirmed in the restraint register sighted.</w:t>
            </w:r>
          </w:p>
          <w:p w:rsidR="00EB7645" w:rsidRPr="00BE00C7" w:rsidP="00BE00C7">
            <w:pPr>
              <w:pStyle w:val="OutcomeDescription"/>
              <w:spacing w:before="120" w:after="120"/>
              <w:rPr>
                <w:rFonts w:cs="Arial"/>
                <w:b w:val="0"/>
                <w:lang w:eastAsia="en-NZ"/>
              </w:rPr>
            </w:pPr>
            <w:r w:rsidRPr="00BE00C7">
              <w:rPr>
                <w:rFonts w:cs="Arial"/>
                <w:b w:val="0"/>
                <w:lang w:eastAsia="en-NZ"/>
              </w:rPr>
              <w:t>Restraint use is discouraged and during interviews with staff they were able to clearly describe the safe use of both enablers and restraint should it be required. Staff education occurs each year in October and during staff orientation as confirmed in documentation reviewed.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Fairview Care Limited - Fairview Care</w:t>
    </w:r>
    <w:bookmarkEnd w:id="58"/>
    <w:r>
      <w:rPr>
        <w:rFonts w:cs="Arial"/>
        <w:sz w:val="16"/>
        <w:szCs w:val="20"/>
      </w:rPr>
      <w:tab/>
      <w:t xml:space="preserve">Date of Audit: </w:t>
    </w:r>
    <w:bookmarkStart w:id="59" w:name="AuditStartDate1"/>
    <w:r>
      <w:rPr>
        <w:rFonts w:cs="Arial"/>
        <w:sz w:val="16"/>
        <w:szCs w:val="20"/>
      </w:rPr>
      <w:t>25 July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