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 &amp; R Manuel Limited - Phoenix House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 &amp; R Manuel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Phoenix House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2017</w:t>
      </w:r>
      <w:bookmarkEnd w:id="7"/>
      <w:r w:rsidRPr="009418D4">
        <w:rPr>
          <w:rFonts w:cs="Arial"/>
        </w:rPr>
        <w:tab/>
        <w:t xml:space="preserve">End date: </w:t>
      </w:r>
      <w:bookmarkStart w:id="8" w:name="AuditEndDate"/>
      <w:r w:rsidR="00A4268A">
        <w:rPr>
          <w:rFonts w:cs="Arial"/>
        </w:rPr>
        <w:t>30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Phoenix House Rest Home and Hospital is privately owned and operated and cares for up to 30 residents requiring hospital and rest home level care.  On the day of the audit, there were 28 residents. The service is managed by a facility manager who has been in the role since November 2016 and is supported by the owner director and a financial manager. Residents and family and the GP interviewed, spoke very highly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people who use the service. Implementation is supported through the quality and risk management programme.  </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facility has embedded the interRAI assessment protocols within its current documentation.  Care plans were individualised and comprehensively completed in all resident files reviewed.  ‘At risk’ residents were identified and monitoring strategies were implemented and regularly evaluated.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that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manager is responsible for the day-to-day operations of the care facility.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and complete education and medication competencies.  Medication charts are reviewed three-monthly by the GP. </w:t>
      </w:r>
    </w:p>
    <w:p w:rsidRPr="00A4268A" w:rsidP="00621629">
      <w:pPr>
        <w:spacing w:before="240" w:line="276" w:lineRule="auto"/>
        <w:rPr>
          <w:rFonts w:eastAsia="Calibri"/>
        </w:rPr>
      </w:pPr>
      <w:r w:rsidRPr="00A4268A">
        <w:rPr>
          <w:rFonts w:eastAsia="Calibri"/>
        </w:rPr>
        <w:t xml:space="preserve">The recreational therapists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no ensuites but there are sufficient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Appropriate training, information and equipment for responding to emergencies are provided.  There is an approved evacuation scheme and emergency supplies for at least three days. There is a trained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Two registered nurses share the restraint coordinator role.   There were three residents voluntarily using enablers and two residents with restraints. Staff receive training around restraint and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0"/>
        <w:gridCol w:w="1280"/>
        <w:gridCol w:w="98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provided to residents and their families.  Policy relating to the Code is implemented.  One facility manager, one owner director, four caregivers, three registered nurses, and one recreational therapist interviewed, confirmed their understanding of the Code and provided examples of how the Code is applied to residents’ cares.  Staff receive training about the Code during their induction to the service.  This training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resuscitation consent forms were evident on all resident files reviewed (three hospital - including one long-term support - chronic health conditions agreement, and three rest home including one resident admitted for respite care).  General consent forms were evident on files reviewed.  Discussions with staff confirmed that they are familiar with the requirements to obtain informed consent for entering rooms and personal care.  Enduring power of attorney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brochures are included in the information provided to new residents and their family during their entry to the service.  An advocacy poster is displayed in a visible location in both Māori and English.  Staff receive regular education and training on the role of advocacy services, which begins during their induction to the service.  Education is provided by the local HDC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their relationships with friends and community groups.  Assistance is provided by the care staff to ensure that the residents participate in as much as they can safely and desire to do, evidenced through interviews and observations.  Interviews with the residents confirmed that they are encouraged to remain active in their community and participate in social activities external to the aged care facility.  Examples include van outings, and church services, attendance at local art exhibitions and local theatre, and Matariki celebrations.  Local entertainers visit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families/whānau during entry to the service.  Access to complaints forms are located at reception.  A complaints register is in place, however there have been no verbal or written complaints since 1995.  A small sample of residents are surveyed on a continuous basis with all residents being surveyed at least every 12 months.  Any issues identified are addressed quickly.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 They advised that they had no complaints or concerns about the service and found the staff and managers very approachable.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facility manager discusses aspects of the Code with residents and their family/whānau on admission.  The Code is displayed in English and Māori throughout the facility. All residents interviewed (four rest home and two hospital) and three family/whānau interviewed (one hospital and two rest home)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the residents and families/whānau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begins during their induction to the service.  Links are in place with Age Concern for referral if abuse and/or neglect is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50% of staff at Phoenix House identify as Māori and have strong links with the local iwi (Ngati Maru, Ngati Whanaunga, Ngati Tamatera and Ngati Pukenga) and Hauraki Māori Trust Board.  Staff regularly speak Te Reo with the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Local kaumātua are available to support residents and the facility when required (eg, to bless rooms, to support residents requiring palliative care, to visit family members etc).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values and beliefs that are identified through the assessment process are documented in the resident’s care plan. There were seven residents living at the facility who identified as Māori. The Māori residents interviewed confirmed that their cultural values and beliefs were met, and Tikanga principles were imbedded in the care practices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cultural awareness begins during their induction to the service and continues as a regular in-service.  The caregivers interviewed provided examples of how they ensure Māori values and beliefs are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family/whānau and/or their representative.  The staff demonstrated through interviews and observations that they are committed to ensuring each resident remains a person, even in a state of decline.  Beliefs and values are discussed and incorporated into the residents’ care plans, as evidenced in all six care plans reviewed (three rest home - including one resident admitted on a respite agreement and three hospital - including one resident admitted under a long-term support - chronic health condition agreement).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the code of conduct.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strong focus on quality care and a number of areas of good practice were evident.  The service has implemented a falls reduction project which has included staff education on falls prevention and the mechanics of mobilisation, the installation of non-skid carpet, and conversations about all falls at staff handovers and staff meetings. The service also had a focus on the reduction of skin tears, including improved manual handling techniques and education on nutrition and hydration. Staff are now paid to attend education and the service has implemented access to on-line learning for all staff.  Staff attendance at education ranges from 37% to 100%.  These initiatives are beginning to show improved outcomes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proactive in listening to the resident’s requests including rostering one additional staff member over meal times. The residents and families interviewed confirmed that they have no complaints with any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onsite 24 hours a day, seven days a week. There are three GP practices in Coromandel who provide service to the facility.  Hospital residents are reviewed by the GP at least monthly and rest home residents are reviewed at least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which includes (but is not limited to) specialist visits (gerontology nurse specialists and wound care specialist nurse).  Support is also provided through Hospice New Zealand.  A physiotherapist visits the service for 1 hour per week and massage therapy is provided. </w:t>
            </w:r>
          </w:p>
          <w:p w:rsidR="00EB7645" w:rsidRPr="00BE00C7" w:rsidP="00BE00C7">
            <w:pPr>
              <w:pStyle w:val="OutcomeDescription"/>
              <w:spacing w:before="120" w:after="120"/>
              <w:rPr>
                <w:rFonts w:cs="Arial"/>
                <w:b w:val="0"/>
                <w:lang w:eastAsia="en-NZ"/>
              </w:rPr>
            </w:pPr>
            <w:r w:rsidRPr="00BE00C7">
              <w:rPr>
                <w:rFonts w:cs="Arial"/>
                <w:b w:val="0"/>
                <w:lang w:eastAsia="en-NZ"/>
              </w:rPr>
              <w:t>A van is on site for regular outings.  Residents and family/whānau interviewed reported that they are very satisfied with the services received and find the management team very approachable.  A resident/family satisfaction survey is completed annually and confirmed satisfaction with the services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families/whānau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document the circumstances and timeframes they wish to be contacted, regarding the notification of a change in heath condition or an adverse event. The accident/incident forms reviewed reflected documented evidence of families/whānau being informed following an adverse event.  Families/whānau interviewed confirmed they are kept informed of the resident`s status, including any events adversely affecting the resident.  A family/whānau communication sheet is held in the front of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DHB.  Families/whānau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Phoenix House is a family owned and operated facility that was established in 1987. The original owners sold the business to their daughter and son-in-law in 2009. The facility manager receives support from the previous owner who is the financial manager and the current owner/director.  Both the owner/director and the financial manager are registered nurses with current annual practicing certificates. The facility manager is a registered nurse (RN) with 30 years of nursing experience in the community and hospital setting and has been in a leadership role at this facility since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care for up to 30 residents at rest home and hospital level of care. There were 28 residents on the day of audit.  There were 18 rest home residents including one resident admitted under a primary care contract and one resident admitted under a respite care agreement.  There were 10 hospital level residents including   one resident admitted under the long-term support - chronic health conditions agreement.  The remaining residents were all under the ARRC agreement.  The service also has a transitional care service agreement and a day care and end of life care contract. There were no residents being funded by the transitional care or end of life care service agreement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Business goals have been documented for 2017 and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Both the owner/director and the facility manager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absence of the manager the owner director and the financial manager (the previous owner) who are both RNs with current APCs assume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owner director, registered nurses, care staff, one cook, and one cleaner,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Quality data is regularly communicated to staff via monthly staff meetings, and a copy of the previous meeting minutes are kept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Areas of non-compliance include the initiation of a corrective action plan with corrective actions being signed off at staff meetings to evidence their implementation.  There was evidence in the monthly staff meetings to verify staff are informed of audit results and corrective actions.  Quality improvements made since the last audit included (but not limited to) insulating the older part of the building, painting throughout, replacing the Feltex in the main building area, putting non-slip coverings on the external ramps and the installation of Wi-Fi.</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(registered nurse) and review of health and safety documentation confirmed that legislative requirements are being met.  External contractors have been orientated to the facility’s health and safety programme.  The hazard register is regularly reviewed (last review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Clinical evaluation of residents following an adverse event is conducted by a registered nurse and was evidenced in all ten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evidenced in six staff files randomly selected for review (facility manager, registered nurse, two caregivers, recreational therapist and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an orientation programme that provides new staff with relevant information for safe work practice.  Evidence of completed induction checklists were sighted in all six staff files.  Annual staff appraisals were up-to-date.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Regular in-services are provided by a range of in-house and external speakers including (but not limited to) nurse specialists, Aged Concern and the Health and Disability Advocacy Service.  The service also has access to an aged care on-line learning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Phoenix House policy includes staff rationale and skill mix.  Sufficient staff are rostered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rostered on each shift for 28 residents (18 rest home, 10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an am shift there are five caregivers - two long, and two short shifts, in addition to a cleaner who completes caregiving duties from 0700 to 0900. The cleaner then commences the cleaning tasks. On a pm shift, there are three caregivers -two long and one short shift.  On a night shift, there is one caregiver.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a week.  A morning caregiver completes the laundry, and reports there is adequate time allocated for this.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family/whānau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Exclusions from the service are included in the admission agreement.  All nine admission agreements viewed (including respite)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Respite residents have their discharge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were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medico pack system.  Medications are checked on arrival and any pharmacy errors recorded and fed back to the supplying pharmacy.  Registered nurses administer medications in the hospital and rest home.  Staff attend annual education by Medico who also check medication competency.  Registered nurses have syringe driver training completed by the hospice.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a medication signing sheet. Twelve medication charts were reviewed (six hospital - including one long-term support - chronic health conditions and six rest home – including one respite).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who cover Monday to Friday and two cooks who cover Saturday and Sunday.  All have current food safety certificates.  The head cook oversees the procurement of the food and management of the kitchen.  There is a well-equipped kitchen and all meals are cooked on-site.  Meals are served directly from a bain marie in all dining rooms.  Special equipment such as lipped plates are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bain marie temperature is also checked.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kitchen whiteboard. The four-weekly menu cycle is approved by a dietitian.  All resident/families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where required, assessments that were reviewed at least six-monthly or when there was a change to a resident’s health condition.  The interRAI assessment tool is implemented.  InterRAI assessments had been completed for all long-term residents whose files were sampled.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were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physiotherapist, massage therapist, wound care specialist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 that they notify family members about any changes in their relative’s health status.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are currently five wounds and one pressure injury being managed.  One wound has had input from the GP and wound care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has a Portacath in situ. There is a protocol for care of the Portacath in place and assistance from the specialist nurse at WDHB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recreational therapists.  One works six hours weekly, one eight and a half hours weekly and one nine hours weekly.  On the days of audit residents were observed participating in exercises, listening to music and poetry and assisting with household jobs.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in which to participate and every effort is made to ensure activities are meaningful and tailored to residents’ needs. These include exercises, brain teasers, news from the NZ Herald, music, walks outside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church services held in the facility but family/whānau take residents out to church and the priest and minister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area has at least one van outing three weekly except for the more independent residents in one area who go out weekly.  There are regular entertainers visiting the facility.  Special events like birthdays, Easter, Mothers’ Day, Anzac Day and Matariki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four cats and one dog, all of whom the residents take great joy from.</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marae and the RSA. The long-term chronic care resident attends a community craft group twice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six-monthly and are open for families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long-term care plans reviewed had been evaluated by the registered nurses six monthly or when changes to care occurs.  Short-term care plans for short-term needs are evaluated and signed off as resolved or added to the long-term care plan as an ongoing problem.  Activities plans are in place for each of the long-term residents and these are also evaluated six-monthly. The multidisciplinary review involves the RN, GP and resident/family if they wish to attend.  There is at least a three-monthly review by the GP for rest home and one 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plastics and mental health services for older people.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Management of waste and hazardous substances is covered during orientation and staff have attended chemical safety training.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face shields are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27 June 2018. There is no maintenance person on-site but the facility manager or registered nurse phones contractors when maintenance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 utility areas such as the kitchen, laundry and sluice rooms have vinyl flooring.  Residents’ rooms are carpeted and communal showers and toilets have non-slip vinyl flooring.  All halls have safety rails and promote safe mobility with the use of mobility aids.  Residents were observed moving freely around the areas with mobility aids where required.  The external areas and gardens were well maintained.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ensuites.  All rooms share communal showers and toilets.  Fixtures, fittings and flooring are appropriate.  There is a hole in the wall of one shower and a builder has already been booked to repair this. Toilet/shower facilities are easy to clean.  There is ample space in all toilet and shower areas to accommodate shower chairs and a hoist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They are sufficiently spacious in the rest home and hospital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One lounge opens out onto an attractive courtyard/garden area.   There are dining rooms in each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done on-site by a caregiver who works a morning shift in the hospital and a laundry shift after lunch.  The laundry is divided into a ‘dirty’ and ‘clean’ area. There is a laundry and cleaning manual.  Cleaning and laundry services are monitored through the internal auditing system. The cleaner’s equipment was attended at all times or locked away in the cleaner’s room as sighted on the day of the audit. Cleaning is done by a caregiver who works in the hospital till 0900 and then cleans for the remainder of the shift.  There is a sluice room for the disposal of soiled water or waste.  The sluice room and the laundry are kept closed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mandatory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food, water, and blankets.  A gas barbeque is available.  The service have their own generator which is checked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an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Phoenix House Rest Home and Hospital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all staff as members of the infection control team.  Infection control is discussed at the staff meetings.  Minutes are available for staff.  Spot infection control audits have been conducted and include hand hygiene and infection control practices.  Education is provided for all new staff on orientation.  The infection control programme has been reviewed annually (last reviewed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with support from the facility manager.  There are adequate resources to implement the infection control programme for the size and complexity of the organisation.  The IC coordinator and IC team (comprising all staff) have good external support from the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Phoenix House Rest Home and Hospital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education in infection control.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The policy states that the facility prefers no or minimal restraint.  Policy includes guidelines and definitions for use of enablers and restraint.  On the day of the audit there were two restraints and three enablers in use.  All are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The three residents using enablers had given consent voluntarily.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and enabler register.  Documentation for one restraint and one enabler was reviewed and this evidenced assessment, consent, planning, monitoring and review of the restraints/enablers.  Restraint education is completed annually.  Caregivers interviewed understood the restraint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is completed by registered nurses.  All appropriate factors such as risk and alternative strategies are documented.  Residents are given full explanations of what restraint involves before signing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only used after alternative strategies have been attempted and proven unsuccessful.  Careful monitoring by all staff ensures residents being restrained are safe at all times.  Monitoring is documented on a monitoring form.  There have been no injuries from restraint use.  There is a restraint register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for the one restraint file reviewed evidenced that each episode of restraint is evaluated on the restraint monitoring form.  There had been no changes made to restraint plans but the registered nurse interviewed stated that this would occur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discussed at quality meetings and by the two registered nurses responsible for restraint.  Both the registered nurses stated that they look at trends and that there has been no increase in the use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 &amp; R Manuel Limited - Phoenix House Resthome and Hospital</w:t>
    </w:r>
    <w:bookmarkEnd w:id="58"/>
    <w:r>
      <w:rPr>
        <w:rFonts w:cs="Arial"/>
        <w:sz w:val="16"/>
        <w:szCs w:val="20"/>
      </w:rPr>
      <w:tab/>
      <w:t xml:space="preserve">Date of Audit: </w:t>
    </w:r>
    <w:bookmarkStart w:id="59" w:name="AuditStartDate1"/>
    <w:r>
      <w:rPr>
        <w:rFonts w:cs="Arial"/>
        <w:sz w:val="16"/>
        <w:szCs w:val="20"/>
      </w:rPr>
      <w:t>29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