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Whanau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Whanau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July 2017</w:t>
      </w:r>
      <w:bookmarkEnd w:id="7"/>
      <w:r w:rsidRPr="009418D4">
        <w:rPr>
          <w:rFonts w:cs="Arial"/>
        </w:rPr>
        <w:tab/>
        <w:t xml:space="preserve">End date: </w:t>
      </w:r>
      <w:bookmarkStart w:id="8" w:name="AuditEndDate"/>
      <w:r w:rsidR="00A4268A">
        <w:rPr>
          <w:rFonts w:cs="Arial"/>
        </w:rPr>
        <w:t>13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Te Whanau Rest Home and Hospital is certified to provide hospital (medical and geriatric) and rest home level care for up to 65 residents.  There were 50 residents on the day of audit.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At the time of the audit the care home manager was on leave.  The service was being managed by a Bupa relieving care home manager who is a registered nurse with 16 years’ experience of managing Bupa aged care facilities.  She is supported by a clinical manager who has recently resigned and was orientating the newly appointed clinical manager to the service.</w:t>
      </w:r>
    </w:p>
    <w:p w:rsidRPr="00A4268A">
      <w:pPr>
        <w:spacing w:before="240" w:line="276" w:lineRule="auto"/>
        <w:rPr>
          <w:rFonts w:eastAsia="Calibri"/>
        </w:rPr>
      </w:pPr>
      <w:r w:rsidRPr="00A4268A">
        <w:rPr>
          <w:rFonts w:eastAsia="Calibri"/>
        </w:rPr>
        <w:t>The following improvements have been identified around, medication management, care planning, restraint, quality and risk management and staffing.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Te Whanau Rest Home and Hospital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needs are identified. There was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documented.  Opportunities for improvements are identified.  </w:t>
      </w:r>
    </w:p>
    <w:p w:rsidRPr="00A4268A">
      <w:pPr>
        <w:spacing w:before="240" w:line="276" w:lineRule="auto"/>
        <w:rPr>
          <w:rFonts w:eastAsia="Calibri"/>
        </w:rPr>
      </w:pPr>
      <w:r w:rsidRPr="00A4268A">
        <w:rPr>
          <w:rFonts w:eastAsia="Calibri"/>
        </w:rPr>
        <w:t>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Residents’ files include at a minimum, three-monthly reviews by the general practitioner (GP).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three-monthly by the general practitioner.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 xml:space="preserve">The majority of rooms are single. There are three shared rooms.  There are adequate numbers of toilets and showers.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Staff are provided with training in restraint minimisation and challenging behaviour management.  At the beginning of the audit two residents had been identified as using restraint and three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(the clinical manager)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5"/>
        <w:gridCol w:w="1280"/>
        <w:gridCol w:w="9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(five caregivers, three who work in both areas, one who works in the rest home and one who works in the hospital, two registered nurses and one activity coordinator, the clinical manager, the orientating clinical manager and the Bupa relieving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in all eight resident files reviewed.    General consent forms were evident in the eight files reviewed.  Discussions with staff confirmed that they are familiar with the requirements to obtain informed consent for personal care, entering rooms and so on.  Enduring power of attorney evidence is sought prior to admission, and activation documentation is obtained and both are filed with the admission agreements.  Where legal processes are ongoing to gain EPOA, this is recorded, as are letters of request to families for the supporting documentation.  Residents interviewed confirmed that consent was obtained before undertaking any care or treatment.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can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The complaints register review included verbal and written complaints (three for 2016 and 2017 year-to-date) with evidence to confirm that complaints are being managed in a timely manner including acknowledgement, investigation, meeting timelines,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seven residents (five rest home and two hospital level including one younger person with a disability) interviewed, reported that the residents’ rights are being upheld by the service.  Interviews with residents and four family members (three hospital and one rest home) also confirmed their understanding of the Code and its application to aged residential care and residential disability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One Māori resident interviewed (hospital) confirmed that Māori cultural values and beliefs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included the resident’s spiritual and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Caregivers are trained to provide a supportive relationship based on sense of trust, security and self-esteem.  Caregivers interviewed could describe how they build a supportive relationship with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(link 1.2.8.1).  A house GP visits the facility two days a week and an after-hour’s service is provided.  The general practitioner (GP)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Physiotherapy services are provided on-site fortnightly.  A dietitian is also available for consultations.  There is a regular in-service education and training programme for staff.  A podiatrist is on-site every six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Te Whanau is benchmarked against other Bupa services.  If the results are above the benchmark, a corrective action plan is developed by the service (link 1.2.3.6).</w:t>
            </w:r>
          </w:p>
          <w:p w:rsidR="00EB7645" w:rsidRPr="00BE00C7" w:rsidP="00BE00C7">
            <w:pPr>
              <w:pStyle w:val="OutcomeDescription"/>
              <w:spacing w:before="120" w:after="120"/>
              <w:rPr>
                <w:rFonts w:cs="Arial"/>
                <w:b w:val="0"/>
                <w:lang w:eastAsia="en-NZ"/>
              </w:rPr>
            </w:pPr>
            <w:r w:rsidRPr="00BE00C7">
              <w:rPr>
                <w:rFonts w:cs="Arial"/>
                <w:b w:val="0"/>
                <w:lang w:eastAsia="en-NZ"/>
              </w:rPr>
              <w:t>This year they have a quality goal to reduce facility acquired pressure injury by 25% from 2016.And also reduce facility acquired skin tears by 25% from 2016.  The first quarter they are on track to meet their pressure area reduction and have reduced by 50%.  Skin tears, have not yet improved and the service is currently focusing on the care and attention to  fingernails of both residents and staff, as they have found that long or sharp nails contributes to the skin tear occurrence.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Sixteen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Te Whanau Rest Home &amp; Hospital provides hospital (geriatric and medical) and rest home level care for up to 65 residents.  There were 23 rest home level residents including one on respite and 27 hospital level residents in the hospital/rest home units including one younger person with disability (YPD) and three funded by ACC.  There are 10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Progress towards the achievement of annual goals for the facility have been reviewed by the care home manager. The annual goals for 2017 have been developed and communicated to staff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care home manager was on leave.  The service was being managed by a Bupa relieving care home manager who is a registered nurse with 16 years’ experience of managing Bupa aged care facilities.  She is supported by a clinical manager/registered nurse (RN) who has been employed at the facility for six months. The current clinical manager was working out her notice after resigning and a new clinical manager was undergoing orientation at the time of the audit.  The care home manager and clinical manager are supported by a Bupa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care home manager, the clinical manager covers the care home manager’s role with the support of the regional manager and the care home managers from other Bupa sites located in the mid central region.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raw data is reported across three monthly facility meetings and to the Bupa regional manager.  Discussions with the managers and staff reflected staff do not feel well informed about quality outcomes.  There has been one resident meeting in 2017 year-to-date.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collection of quality and risk data includes (but is not limited to) residents’ falls, infection rates, complaints received, restraint use, pressure areas, wounds, and medication errors.  Data is provided to head office for benchmarking.  Corrective action plans are developed when service shortfalls are identified.  An annual internal audit schedule was sighted for the service with evidence of internal audits occurring as per the audit schedule. The 2016 resident/relative survey demonstrated overall satisfaction with the service.  Corrective action plans were developed and implemented around activities and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Health and safety was evidenced to be consistently discussed as an agenda item in staff meetings. One health and safety representative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identification of interventions on a case-by-case basis to minimise future falls.  Falls prevention equipment includes sensor mats and use of low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Sixteen accident/incident forms were reviewed.  Each event involving a resident reflected a clinical assessment and follow-up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relieving care home manager and clinical manager are aware of their requirement to notify relevant authorities in relation to essential notifications with examples provided.  When a category one (serious) incident occurs, this is reported to head office who then undertake notifications to the required authorities.  Notifications have been made around pressure injuries (six), an interruption in medical services, a failure of the call bell system, an unexpected death and a norovirus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registered nurse (RN), one clinical manager, three caregivers, one activities coordinator, one cook and one cleaner)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In 2016 72% staff attendance to compulsory education increased from 10% in 2015.  There Aare two careerforce assessors, 19% caregivers are enrolled in careerforce and are working through these level 2 or 3; 63% of care staff have completed qualification, either level 2,3,core competencies or ace course and 13% of caregivers have completed careerforce dementia modules.</w:t>
            </w:r>
          </w:p>
          <w:p w:rsidR="00EB7645" w:rsidRPr="00BE00C7" w:rsidP="00BE00C7">
            <w:pPr>
              <w:pStyle w:val="OutcomeDescription"/>
              <w:spacing w:before="120" w:after="120"/>
              <w:rPr>
                <w:rFonts w:cs="Arial"/>
                <w:b w:val="0"/>
                <w:lang w:eastAsia="en-NZ"/>
              </w:rPr>
            </w:pPr>
            <w:r w:rsidRPr="00BE00C7">
              <w:rPr>
                <w:rFonts w:cs="Arial"/>
                <w:b w:val="0"/>
                <w:lang w:eastAsia="en-NZ"/>
              </w:rPr>
              <w:t>Over 80% have attended palliative care education</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Six registered nurses are employed including the care home manager and clinical manager, and four have completed interRAI training. There are implemented competencies for registered nurses including (but not limited to) medication, catheter care, wound management and syringe driver competencies.  All RNs have attended palliative training and have participated in the SEQUAL project with hospice.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includes skill mixes.  There is a care home manager Monday – Friday and a clinical manager (RN) Monday – Friday.  RN cover is provided 24 hours a day, seven days a week with one registered nurse at all times.  RNs are supported by insufficient numbers of caregivers.  Caregivers are not always replaced when staff are absent and staffing had not been increased when acuity was higher.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identified that staffing in the hospital wings, but not the rest home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Hospital wing one (currently eight hospital and three rest home level residents): two caregivers on duty from 7am to 3pm, one from 3pm to 11pm and one from 3pm to 10pm.</w:t>
            </w:r>
          </w:p>
          <w:p w:rsidR="00EB7645" w:rsidRPr="00BE00C7" w:rsidP="00BE00C7">
            <w:pPr>
              <w:pStyle w:val="OutcomeDescription"/>
              <w:spacing w:before="120" w:after="120"/>
              <w:rPr>
                <w:rFonts w:cs="Arial"/>
                <w:b w:val="0"/>
                <w:lang w:eastAsia="en-NZ"/>
              </w:rPr>
            </w:pPr>
            <w:r w:rsidRPr="00BE00C7">
              <w:rPr>
                <w:rFonts w:cs="Arial"/>
                <w:b w:val="0"/>
                <w:lang w:eastAsia="en-NZ"/>
              </w:rPr>
              <w:t>Hospital wing two (currently 11 hospital and 2 rest home level residents):  one caregiver from 7am to 3pm, one from 7am to 1.30pm, one from 3pm to 11pm and one from 3pm to 9pm.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wing (currently 18 rest home level and 8 hospital level residents): two caregivers from 7am to 3pm, one from 7am to 1.30pm, one from 3pm to 11pm, one from 3pm to 10pm and one from 4pm to 10pm.  </w:t>
            </w:r>
          </w:p>
          <w:p w:rsidR="00EB7645" w:rsidRPr="00BE00C7" w:rsidP="00BE00C7">
            <w:pPr>
              <w:pStyle w:val="OutcomeDescription"/>
              <w:spacing w:before="120" w:after="120"/>
              <w:rPr>
                <w:rFonts w:cs="Arial"/>
                <w:b w:val="0"/>
                <w:lang w:eastAsia="en-NZ"/>
              </w:rPr>
            </w:pPr>
            <w:r w:rsidRPr="00BE00C7">
              <w:rPr>
                <w:rFonts w:cs="Arial"/>
                <w:b w:val="0"/>
                <w:lang w:eastAsia="en-NZ"/>
              </w:rPr>
              <w:t>Two caregivers support the registered nurse overnight and cover all areas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and wounds held in separate folders.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an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Eight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An RN checks all medications on delivery against the medication and any pharmacy errors recorded and fed back to the supplying pharmacy.  All medications were securely and appropriately stored.  The medication fridge temperature has been recorded daily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caregivers responsible for the administering of medications have completed annual medication competencies and annual medication education.  Caregivers who act as second checker have also completed medication competencies.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(eight rest home, eight hospital).  Photo identification and allergy status were on all sixteen charts.  All medication charts had been reviewed by the GP at least three-monthly.  Not all resident medication administration signing sheets corresponded with the medication chart around giving of dietary supplements.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and is supported by kitchen staff on duty each day.  The national menus have been audited and approved by an external dietitian.  The main meal is at lunch time.  All baking and meals are cooked on-site in the main kitchen.  Meals are delivered in a bain-marie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a bain-marie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 on-site food safety education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Last year they focussed on their meals as they had significant feedback in both their resident survey and resident’s meeting about the evening meal in particular.  They went to the residents for a vote on changing their main meal to the evening; beginning May 2016 they changed their main meal and pudding to the evening.  They reviewed this with residents at their meeting in July and the general vote was to keep with the change as most were happier with this option.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completed for all the resident files reviewed.  InterRAI initial assessments and assessment summaries were evident in printed format in all files.  Files reviewed across the service identified that risk assessments have been completed on admission and reviewed six-monthly as part of the evaluation.  Additional assessments for management of behaviour, wound care and restraint were completed according to need.  For the resident files reviewed, formal assessments and risk assessments were in place and reflected into care plans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sampled documented support needs and interventions, however not all care plans were updated as resident status changed.  Residents and family members interviewed confirm they are involved in the development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wounds and infections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There was documented evidence of relative contact.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all wounds.  All wound care plans included a short-term care plan and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unstageable pressure injuries and one stage-3 pressure injury being treated at the time of audit.  Evidence of GP, dietitian, physiotherapist, and wound care nurse specialist input into wound care was documented in resident files.  Recommendations made were evidenced to be implemented.  However, not all recommendations were updated into the long-term care plan (link to 1.3.5.2).</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examples sighted included (but not limited to), weight and vital signs, blood glucose, pain, food and fluid, turning charts and behaviour monitoring as required.  Monitoring of enablers when in use was not evidenced to be completed as per Bupa policy (link 2.2.3.4).</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working on weight loss management since last surveillance audit with a system in place where the night RN charts all weight recordings and then completes a short term care plan and completes appropriate referral to GP and/or dietitian.  The clinical manager signs off the weight record for each month ensuring the appropriate actions have been taken for those resident required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diversional therapist who works 35 hours per week, Tuesday to Saturday.</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in both areas.  There are resources available for care staff to use for one-on-one time with the resident. The younger resident interviewed stated their recreational and social needs were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six-monthly as part of the care plan review/evaluation and a record is kept on individual resident’s activities.  There are recreational progress notes in the resident’s file that the diversional therapist completes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which is used for outings. The diversional therapist and a care giver accompany residents on outings. The diversional therapist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 reported that there had been an improvement in the variety of activities provided in the last six months. Residents were observed to be provided with and enjoying a wide range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The multidisciplinary review involves the RN, GP, physiotherapist, diversional therapist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 which expires 25 August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There is a maintenance person employed, who works three days per week and provides after hours on-call cover for any maintenance issues. The maintenance person has completed stage-1 health and safety training.  The hot water temperatures are monitored weekly and maintained between 43-45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A refurbishment of some bedrooms and the small south lounge has been commenced, doing bedrooms as they become vacant.</w:t>
            </w:r>
          </w:p>
          <w:p w:rsidR="00EB7645" w:rsidRPr="00BE00C7" w:rsidP="00BE00C7">
            <w:pPr>
              <w:pStyle w:val="OutcomeDescription"/>
              <w:spacing w:before="120" w:after="120"/>
              <w:rPr>
                <w:rFonts w:cs="Arial"/>
                <w:b w:val="0"/>
                <w:lang w:eastAsia="en-NZ"/>
              </w:rPr>
            </w:pPr>
            <w:r w:rsidRPr="00BE00C7">
              <w:rPr>
                <w:rFonts w:cs="Arial"/>
                <w:b w:val="0"/>
                <w:lang w:eastAsia="en-NZ"/>
              </w:rPr>
              <w:t>A garden beautification programme has been implemented. The maintenance man &amp; a keen gardener (resident) has been planting in the gardens &amp; pots throughout the grounds for the pleasure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located near to bedrooms and the communal areas.  Bathrooms are spacious and can accommodate the use of a shower trolley and any mobility equipment.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installed on all toilet and shower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rooms are single. There are three double rooms which have privacy curtains between bed spaces.  Rooms are spacious enough to manoeuvre transferring and mobility equipment to safely deliver care.  There are 18 dedicated rest home beds and 47 hospital beds.  Ten of the hospital beds are dual-purpose which can be used to provide rest home or hospital level care.  Residents are encouraged to personalise their bedrooms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lounges in the hospital and rest home area.  Each area also has a kitchenette and open plan dining area.  All lounge/dining rooms are accessible and accommodate the equipment required for the residents.  Residents are able to move freely and furniture is well arranged to facilitate this.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on-site.  There are designated clean and dirty areas in the laundry with separate entrance and exit doors.  Laundry and cleaning audits are completed as part of the internal audit programme.  The laundry and cleaning rooms are designated areas and clearly labelled.  Chemicals are stored in locked rooms.  All chemicals are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Cleaning trolleys are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There are emergency management plans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or a sensor mat was in place where required.  Staff were observed to answer call bells promptly including responding to an emergency bell which rang on day one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in individual resident rooms is able to be adjusted to meet resident’s preference or seasonal changes.  All communal rooms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are appropriate for the size, complexity and degree of risk associated with the service. Staff are well informed about infection control practises and reporting. The infection control officer is a registered nurse (the clinical manager) and she is responsible for infection control across the facility.  The committee and the Bupa governing body are responsible for the development of the infection control programme and its review.  The infection control programme is established at Bupa Te Whanau. The infection control committee consists of a cross-section of staff and there is external input as required from general practitioners and the Bupa quality &amp; risk team.  There has been one outbreak since the previous audit.  The outbreak was contained to the rest home area and lasted from 12 June 2017 to 6 July 2017.  As the outbreak had only recently been resolved, an evaluation had not been completed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Te Whanau.  The infection control (IC) officer has maintained best practice by attending an infection control boot camp through Bug Control in August 2016.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Orientation package includes specific training around hand hygiene and standard precautions.  Infection control training is regularly held, including (but not limited to) handwashing, outbreak management, and infection prevention &amp; control and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Infection Control Practitioner at the DHB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officer.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Interviews with the caregiver and nursing staff confirmed their understanding of restraints and enablers.  However, restraint and an enabler were in use that were not identified as such.</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two residents identified as requiring the use of two restraints and three with documented enablers.  Enabler use was voluntary for two of these residents.  The other was not competent to express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confirmed in interviews.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had been completed for residents identified by the service as requiring an approved restraint for safety (link 2.1.1.4).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consultation with the resident and family/whānau were evident.  Two files of residents using restraint (one t-belt and one bed rail) were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and enabler use are documented in policy but not always documented as implemented for residents with enablers.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and two care plans reviewed reflected the risks associated with the use of a t-belt and bed rail when in use.  An internal restraint audit monitors staff compliance in following restraint procedures (link 2.1.1.4).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Consistent evidence to verify two hourly checks was sighted on the monitoring forms for two residents requiring the use of a restraint.  Documentation of monitoring for enablers as required by policy was not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  Not all residents with restraint or enabler were included on the registers (link 2.1.1.4).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evidenced in two resident files where restraint was in use.  Restraint use and the evaluation of the continuing need for restraint of each resident was evidenced discussed in the RN meeting minutes reviewed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restraint minimisation programme is discussed and reviewed at a national level and includes identifying trends in restraint use, reviewing restraint minimisation policies and procedures and reviewing the staff education and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5"/>
        <w:gridCol w:w="1280"/>
        <w:gridCol w:w="2615"/>
        <w:gridCol w:w="3657"/>
        <w:gridCol w:w="15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meeting schedule with meetings occurring at various intervals.  Most are two-monthly, but these have not always occurred 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Despite recurring issues all facility meetings except restraint have only occurred three-monthly.  Staff report not feeling well informed. The service has remained consistently above benchmarks in several areas through late 2016 and 2017 YTD.  Corrective action plans, focussing on individual residents have not been reviewed and updated despite being ineffective.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meetings are held at a frequency to ensure that issues are promptly addressed and that staff are well informed. Where quality data is evaluated and corrective actions initiated; ensure these are reviewed for effectiveness and amended where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Te Whanau has a roster where all staff are rostered to various shifts and specific area.  The roster does not provide adequate cover of caregivers in the rest home.  There are four casual caregivers employed and staff and management reported that agency staff are not used.  Absent staff are frequently not replaced as sighted on the roster and confirmed by staff.  There was no evidence of staffing being increased when acuity increases.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‘rest home’ (which includes eight hospital level residents) as evidenced by staff interviews and review of the roster does not always include sufficient staff to support the needs of residents.  (ii)  When illness or leave create gaps in the roster, staff are frequently not replaced. (iii)  When acuity increases there is no evidence of an increase in staffing.  This was particularly evident during the recent protracted outbreak.  (iv)  During the recent outbreak, when the rest home (which also houses hospital level residents) was fully isolated and locked down there was no registered nurse rostered to cover this isolated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sufficient staff with a correct skill mix to meet resident’s needs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management system.  Twelve of sixteen electronic medication signing charts reviewed aligned with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medication charts and signing sheets reviewed of residents prescribed a dietary supplement, evidenced gaps in electronic medication signing sheets where the supplement had not been administered as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dietary supplements are documented as administered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rest home and four hospital level care plans were reviewed.  All eight care plans had care plans that included most of the assessed needs; however, hospital care plans reviewed had not been updated to include changed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care plans reviewed included interventions to address all resident needs or had not been updated to reflect interventions currently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file reviewed did not document management of constipation, or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ACC resident file reviewed had not been updated to reflect changes to continence (no longer has a catheter), and the need for use of lap belt restraint when in specialist wheelchair.  For the same resident, with a current unstageable pressure injury, this was not documented in care plan, and pressure injury prevention equipment currently in place (air wave mattress) was not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For a hospital resident with 7% weight loss in one month; the care plan had not been updated to reflect interventions being implemented to manage weight loss.  The prescribed dietary supplement was not evidenced to be administered as prescribed (link to 1.3.12.6); and </w:t>
            </w:r>
          </w:p>
          <w:p w:rsidR="00EB7645" w:rsidRPr="00BE00C7" w:rsidP="00BE00C7">
            <w:pPr>
              <w:pStyle w:val="OutcomeDescription"/>
              <w:spacing w:before="120" w:after="120"/>
              <w:rPr>
                <w:rFonts w:cs="Arial"/>
                <w:b w:val="0"/>
                <w:lang w:eastAsia="en-NZ"/>
              </w:rPr>
            </w:pPr>
            <w:r w:rsidRPr="00BE00C7">
              <w:rPr>
                <w:rFonts w:cs="Arial"/>
                <w:b w:val="0"/>
                <w:lang w:eastAsia="en-NZ"/>
              </w:rPr>
              <w:t>(iv) In two of two restraint files sampled the management of the risks associated with restraint use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as resident need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restraint training and competencies annually.  Staff interviewed where able to describe the processes required for restraint to be implemented.  Despite this there were residents restrained and with an enabler that were not approved or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During a tour of the facility a resident who is not assessed for an enabler had bed rails up on the bed.  (ii)  One resident with a lap belt on a wheelchair had not had this identified as a restraint.  (iii)  One resident who is not competent to consent to an enabler has a bed rail documented and managed as an enabler, not a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restraints are only used when the resident has been assessed and the restraint approved.  Ensure that bed rails on beds are not raised when the resident is not approved for a restraint or enabler.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policy dictates that residents using enablers must be regularly monitored and that the monitoring should be documented in the progress notes.  This was not regularly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resident files sampled for residents with enablers did not consistently have monitoring documented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Bupa policies are implemented around documenting monitoring of residents with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Whanau Rest Home &amp; Hospital</w:t>
    </w:r>
    <w:bookmarkEnd w:id="58"/>
    <w:r>
      <w:rPr>
        <w:rFonts w:cs="Arial"/>
        <w:sz w:val="16"/>
        <w:szCs w:val="20"/>
      </w:rPr>
      <w:tab/>
      <w:t xml:space="preserve">Date of Audit: </w:t>
    </w:r>
    <w:bookmarkStart w:id="59" w:name="AuditStartDate1"/>
    <w:r>
      <w:rPr>
        <w:rFonts w:cs="Arial"/>
        <w:sz w:val="16"/>
        <w:szCs w:val="20"/>
      </w:rPr>
      <w:t>12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