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Johns Hill Healthcare Limited - St Johns Hill Healthcare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Johns Hill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Johns Hill Healthcare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July 2017</w:t>
      </w:r>
      <w:bookmarkEnd w:id="7"/>
      <w:r w:rsidRPr="009418D4">
        <w:rPr>
          <w:rFonts w:cs="Arial"/>
        </w:rPr>
        <w:tab/>
        <w:t xml:space="preserve">End date: </w:t>
      </w:r>
      <w:bookmarkStart w:id="8" w:name="AuditEndDate"/>
      <w:r w:rsidR="00A4268A">
        <w:rPr>
          <w:rFonts w:cs="Arial"/>
        </w:rPr>
        <w:t>5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 Johns Hill Healthcare in Whanganui provides rest home and hospital level care for up to 56 residents. The service is a family owned business and a general manager oversees all operations, with a facility manager and a clinical leader who manage the day to day operations of the service.  Residents and family/whānau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This audit has resulted in continuous improvement ratings in staff training, staff orientation, restraint minimisation, emergency planning, the infection prevention and control programme and the food services. There is one area identified that requires improvement relating to the consistency of the documented records.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family/whānau are provided with information about the Health and Disability Commissioner’s Code of Health and Disability Services Consumers’ Rights (the Code) and these are respected.  Services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families/whānau is promoted and was confirmed to be effective. There is access to interpreting services if required. Staff provide residents and family/whānau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Continuous improvement has occurred with the development of electronic data collection enabling better reporting and monitoring.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service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range of information and accommodate any new problems that might arise. Files sampled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reported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use has been eliminated from the facility and all other alternatives are explored instead. Families confirmed their satisfaction no restraints or enablers are used.</w:t>
      </w:r>
    </w:p>
    <w:p w:rsidRPr="00A4268A">
      <w:pPr>
        <w:spacing w:before="240" w:line="276" w:lineRule="auto"/>
        <w:rPr>
          <w:rFonts w:eastAsia="Calibri"/>
        </w:rPr>
      </w:pPr>
      <w:r w:rsidRPr="00A4268A">
        <w:rPr>
          <w:rFonts w:eastAsia="Calibri"/>
        </w:rPr>
        <w:t xml:space="preserve">The organisation has implemented policies and procedures that support the minimisation of restraint and a comprehensive assessment, approval and monitoring process with regular review occurs, to comply with the Standard.  </w:t>
      </w:r>
    </w:p>
    <w:p w:rsidRPr="00A4268A">
      <w:pPr>
        <w:spacing w:before="240" w:line="276" w:lineRule="auto"/>
        <w:rPr>
          <w:rFonts w:eastAsia="Calibri"/>
        </w:rPr>
      </w:pPr>
      <w:r w:rsidRPr="00A4268A">
        <w:rPr>
          <w:rFonts w:eastAsia="Calibri"/>
        </w:rPr>
        <w:t xml:space="preserve">Use of enablers is discouraged for the safety of residents. In response to individual requests of voluntary enabler use education is provided to residents. Staff demonstrated a sound knowledge and understanding of the restraint and enabler processes and the restraint-free environment. </w:t>
      </w:r>
    </w:p>
    <w:p w:rsidRPr="00A4268A">
      <w:pPr>
        <w:spacing w:before="240" w:line="276" w:lineRule="auto"/>
        <w:rPr>
          <w:rFonts w:eastAsia="Calibri"/>
        </w:rPr>
      </w:pPr>
      <w:r w:rsidRPr="00A4268A">
        <w:rPr>
          <w:rFonts w:eastAsia="Calibri"/>
        </w:rPr>
        <w:t>It is the goal of the facility to have no enablers or restraints in use, and this was the case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are reported and benchmarked with other providers.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6</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9"/>
        <w:gridCol w:w="1280"/>
        <w:gridCol w:w="9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understood the principles and practice of informed consent. Informed consent policies provide relevant guidance to staff. The resident’s records sampled show that informed consent has been gained appropriately using the organisation’s standard consent form.</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Residents and family/whānau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family/whānau and the community by attending a variety of organised outings, visits, shopping trips, activities, and entertainment. The organisation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24 complaints have been received over the past year and that actions taken, through to an agreed resolution, are documented and completed within the timeframes.  Action plans showed any required follow-up and improvements have been made where possible.  The facility manager is responsible for complaints management and follow-up. All staff interviewed confirmed a sound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reported being made aware of the Code and the Nationwide Health and Disability Advocacy Service (Advocacy Service) as part of the admission information provided and at resident meetings. The Code is displayed throughout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reside in private rooms, no rooms are currently shared; there is a shared room policy in place should this occur. Residents are encouraged to maintain their independence by participation in community activities.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sampled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as part of the in-service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Residents who identify as Māori stated the facility acknowledges and respects their individual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sampled.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reported that residents were free from any type of discrimination, harassment or exploitation and felt safe. The induction process for staff includes education related to professional boundaries, expected behaviours and the Code of Conduct. All registered nurses (RNs) have records of completion of the required training on professional boundaries. Staff are guided by policies and procedures and demonstrated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The GP expressed high praise for the clinical knowledge and skill of the nursing staff.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the restraint minimisation and infection prevention and control programmes and quality initiatives that have been implemented in the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reported they were kept well informed about any changes to their/their relative’s status, were advised in a timely manner about any incidents or accidents and outcomes of regular and any urgent medical reviews. This was supported in residents’ records sampled.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knowledge of how to access interpreter services, although reported this was rarely required due to all residents being able to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longer-term objectives and the associated operational plans. A sample of monthly and quarterly reports to the owners showed adequate information to monitor performance is reported, including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onsite facility manager with oversight by a general manager (GM), both of whom hold relevant qualifications and have been in the role for more than three and a half years. Responsibilities and accountabilities are defined in their job descriptions and individual employment agreements.  Both the GM and facility manager confirm knowledge of the sector, regulatory and reporting requirements and maintains currency through their nursing registration and involvement in the sector.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hospital level care, rest home and intermediate care respite, complex medical conditions, and palliative care.  Twenty-one residents were receiving services under the hospital level care contract and 26 under the rest home care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facility manager is absent, the clinical nurse leader carries out all the required duties under delegated authority with the support of the general manager. During absences of key clinical staff, the clinical management is overseen by the facility manager who is experienced in the sector and able to take responsibility for any clinical issues that may arise. Staff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regular risk register review and risk mitigation strategies.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 nurses’ quality meeting and facility team meeting which all staff can attend. Staff reported their involvement in quality and risk management activities through incident reporting, audit activities, hazard identification and meeting attendance. Relevant corrective actions are developed and implemented to address any shortfalls. Resident and family satisfaction surveys are completed annually. The most recent survey showed a satisfaction with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facility manager described the processes for the identification, monitoring, review and reporting of risks and development of mitigation strategies. The facility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r w:rsidRPr="00BE00C7">
              <w:rPr>
                <w:rFonts w:cs="Arial"/>
                <w:b w:val="0"/>
                <w:lang w:eastAsia="en-NZ"/>
              </w:rPr>
              <w:t>Continuous improvement is evident throughout the functions of all resident, staff, management and governance meetings. Information and quality data is shared openly and corrective actions developed collaboratively at every level of the organisation. Opportunities for improvement are pursued by residents, families, staff, and managers alike and evaluation of all aspects of residents’ well-being occurs to ensure quality safe care. The recent implementation of an electronic quality data system has enabled ease of data reporting, analysis, and sharing of data. Evaluation of the system has already resulted in improvements to the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within an electronic system. Results and corrective actions are reported on at each of the regular meetings to staff, managers and the owners.</w:t>
            </w:r>
          </w:p>
          <w:p w:rsidR="00EB7645" w:rsidRPr="00BE00C7" w:rsidP="00BE00C7">
            <w:pPr>
              <w:pStyle w:val="OutcomeDescription"/>
              <w:spacing w:before="120" w:after="120"/>
              <w:rPr>
                <w:rFonts w:cs="Arial"/>
                <w:b w:val="0"/>
                <w:lang w:eastAsia="en-NZ"/>
              </w:rPr>
            </w:pPr>
            <w:r w:rsidRPr="00BE00C7">
              <w:rPr>
                <w:rFonts w:cs="Arial"/>
                <w:b w:val="0"/>
                <w:lang w:eastAsia="en-NZ"/>
              </w:rPr>
              <w:t>The GM and facility manager described essential notification reporting requirements, including for pressure injuries.  They advised there have been and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after a three-week period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Two staff members are internal assessors for the programme.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Continuous improvement was evident in the areas of orientation and ongoing training with the development of a comprehensive orientation self-learning package and the development of a training coordinator role for the orientation of carers. This senior carer works alongside new carers as an initial ‘buddy’ and then as an ongoing mentor to ensure best practice is provided. The role has been developed to include assessing against the training modules and a weekly health and well-being ‘drop-in’ session is provided to further support all carers. Any decline in service delivery results in immediate reinstatement of the buddy system with the training coordinator. Carers demonstrated a high level of engagement and satisfaction with their orientation and ongoing training opportunities. Evaluation of the role and orientation package has indicated staff are providing a higher standard of care to residents because of their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and personal information was completed in the residents’ files sampled for review. There were some inconsistencies in what was recorded in the residents’ clinical records (refer to 1.2.9.1). Clinical notes were current and integrated with GP and allied health service provider notes. This included interRAI assessment information and other electronic records.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family/whānau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sampled contained completed demographic details,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a transfer record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sampled of a patient recently transferred to the local acute care facility showed the organisational processes were followed. Family of a resident who had a recent admission to hospital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Staff were observed in the rest home and hospital areas and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supplied to the facility in a pre-packaged format from a contracted pharmacy. The RN checks medicines against the prescription. All medicines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sampled for the medicine fridge and the medicine room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reviews were consistently recorded on the medicine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residents who self-administered some of their medicines at the time of audit (such as inhalers).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medicine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the kitchen team, and is in line with recognised nutritional guidelines for older people. The menu follows summer and winter patterns and has been reviewed by a qualified dietitian within the last two years. Recommendations made at that time have been implemented. The service has implemented a quality improvement project with the food services (refer to criterion 1.3.13.1).</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to identify any deficits and to inform care planning. The sample of care plans reviewed had an integrated range of resident-related information. All residents have current interRAI assessments. There was one file in the sample where the clinical staff were not able to gain access to the interRAI within three weeks of the resident’s admission, this was not reflective of a systemic issue. Residents and family/whānau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sampled reflected the support needs of residents, and the outcomes of the integrated assessment process and other relevant clinical information. The needs identified by the interRAI assessments were reflected in care plans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evidenced service integration with progress notes, activities notes, medical and allied health professionals’ notations clearly written, informative and relevant.  Any change in care required is documented and verbally passed on to relevant staff. Residents and family/whānau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and that medical orders were followed.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seven days a week for the hospital level of care residents and five days a week for the rest home level of care residents. There is a trained diversional therapist and two activities coordinators who assist with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social/diversional therapy assessment and history is undertaken on admission to ascertain residents’ needs, interests, abilities and social requirements. Activities assessments are regularly sampled to help formulate an activities programme that is meaningful to the residents. The resident’s activity needs are evaluated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family/whānau are involved in evaluating and improving the programme through residents’ meetings and satisfaction surveys. Residents interviewed confirmed they find the programme is of interest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Formal care plan evaluations occur every six months or as residents’ needs change. Where progress is different from expected, the service responds by initiating changes to the plan of care. Examples of short term care plans being consistently reviewed and progress evaluated as clinically indicated were noted for infections, wounds and post discharge from the acute care hospital.  When necessary, and for unresolved problems, long term care plans are added to and updated. Residents and family/whānau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the dentist, oncology and general surgery.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health and safety staff member who has completed a two-day health and safety training programme provided by an external training provider.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expiring on 3 July 2018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biomedical equipment is current as confirmed in documentation reviewed, interviews with maintenance personnel and observation of the environment.  Efforts were made to ensure the environment was hazard free, that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 or maintenance is required, any requests are appropriately actioned and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most rooms having a private ensuite and the availability of a visitors’ toilet.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or by family members if requested.  Dedicated laundry staff and care staff demonstrated a sound knowledge of the laundry processes, dirty to 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These staff are undertaking the New Zealand Qualifications Authority Certificate in Cleaning (Level 2),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resident/family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staff in their preparation for disasters and describe the procedures to be followed in the event of a fire or other emergency.   The current fire evacuation plan was approved by the New Zealand Fire Service in 2004.  A trial evacuation takes place six-monthly with a copy sent to the New Zealand Fire Service, the most recent being on 23 March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56 residents. Water storage tanks are located around the complex,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 security checks are performed at night.</w:t>
            </w:r>
          </w:p>
          <w:p w:rsidR="00EB7645" w:rsidRPr="00BE00C7" w:rsidP="00BE00C7">
            <w:pPr>
              <w:pStyle w:val="OutcomeDescription"/>
              <w:spacing w:before="120" w:after="120"/>
              <w:rPr>
                <w:rFonts w:cs="Arial"/>
                <w:b w:val="0"/>
                <w:lang w:eastAsia="en-NZ"/>
              </w:rPr>
            </w:pPr>
            <w:r w:rsidRPr="00BE00C7">
              <w:rPr>
                <w:rFonts w:cs="Arial"/>
                <w:b w:val="0"/>
                <w:lang w:eastAsia="en-NZ"/>
              </w:rPr>
              <w:t>Continuous improvement is evident in the facility’s emergency planning. Following regional flooding in 2015 evaluation of the emergency systems was performed in conjunction with the DHB and then at facility level. This review resulted in the development of a set of easy to comprehend laminated photographs of all switches and equipment RNs and care staff may need to access in an emergency, without the assistance of maintenance staff.  Examples included, turning on the generator, to provide power to the laundry, kitchen and lift or accessing the external water storage. The emergency folder was readily accessible in reception and is regularly evaluated as part of the quality and risk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of the corridor have doors that open onto an outside garden or small patio area. Heating is provided by radiators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implements an infection prevention and control programme to minimise the risk of infection to residents, staff and visitors. The programme is guided by a current infection control manual, with input from an external aged care consultant. The infection control programme is reviewed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coordinator, whose role and responsibilities are defined in a job description. Infection control matters, including surveillance results, are reported monthly to the general management team, and tabled at the staff committee meeting. This meeting includes the management team, care staff,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has appropriate skills, knowledge and qualifications for the role. The infection control coordinator has undertaken education in infection prevention and control and attended relevant study days, with verified training records sampled.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there is an increased number of infections, there is evidence that additional staff education has been provided in response. An example included when there was an increase in urinary tract infections for residents who have indwelling catheters.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and has included reminders about handwashing, advice about remaining in their room if they are unwell and increasing fluids during hot weather.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infection control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management and staff. Data is benchmarked externally with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reported outbreaks of infections. One resident was discharged from the acute care hospital with an infectious diagnosis, St John Hill staff implemented isolation and transmission based precautions when the resident returned to the service. The infection did not spread to any other residents 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quality project related to minimising infections (refer to criterion 3.5.7).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or enablers. A similar process is followed for the use of enablers as is used for restraints, when used. </w:t>
            </w:r>
          </w:p>
          <w:p w:rsidR="00EB7645" w:rsidRPr="00BE00C7" w:rsidP="00BE00C7">
            <w:pPr>
              <w:pStyle w:val="OutcomeDescription"/>
              <w:spacing w:before="120" w:after="120"/>
              <w:rPr>
                <w:rFonts w:cs="Arial"/>
                <w:b w:val="0"/>
                <w:lang w:eastAsia="en-NZ"/>
              </w:rPr>
            </w:pPr>
            <w:r w:rsidRPr="00BE00C7">
              <w:rPr>
                <w:rFonts w:cs="Arial"/>
                <w:b w:val="0"/>
                <w:lang w:eastAsia="en-NZ"/>
              </w:rPr>
              <w:t>Restraint use has been eliminated with all other alternatives explored instead.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Prior to eliminating all restraints, the restraint committee undertook six-monthly review of all restraint use which included all the requirements of this Standard. Six monthly restraint meetings and reports are completed and any emergency one off incident of restraint use is reported to the quality and staff meetings.  Minutes of meeting reviewed confirmed this includes analysis and evaluation of any incident of restraint use, including competency of staff, whether all alternatives to restraint had been considered, and the appropriateness of restraint / enabler. A six-monthly internal audit that is carried out also informs these meetings. Any changes to policies, guidelines, education and processes are implemented if indicated. Data reviewed, minutes and interviews with carers, RNs, the facility manager and the restraint coordinator confirmed that the use of restraint and enablers has been eliminated over the past eleven months.</w:t>
            </w:r>
          </w:p>
          <w:p w:rsidR="00EB7645" w:rsidRPr="00BE00C7" w:rsidP="00BE00C7">
            <w:pPr>
              <w:pStyle w:val="OutcomeDescription"/>
              <w:spacing w:before="120" w:after="120"/>
              <w:rPr>
                <w:rFonts w:cs="Arial"/>
                <w:b w:val="0"/>
                <w:lang w:eastAsia="en-NZ"/>
              </w:rPr>
            </w:pPr>
            <w:r w:rsidRPr="00BE00C7">
              <w:rPr>
                <w:rFonts w:cs="Arial"/>
                <w:b w:val="0"/>
                <w:lang w:eastAsia="en-NZ"/>
              </w:rPr>
              <w:t>Continuous improvement is evident in restraint minimisation through the decision a year ago, to eliminate the use of restraints or enablers within the facility. The implementation of this goal involved both staff, residents and their family members and the ‘buy-in’ of the owner. Equipment changes included; removing all bedside rails, purchasing new additional equipment, such as low-low beds, ‘landing strips’ and sensor mats. Investment in education of residents and their families in the alternatives to restraints and enablers and staff training in de-escalation techniques all contributed to the restraint free environment. In addition, RNs, carers and diversional therapy staff are attending the ‘Walking in their shoes’ education available through the DHB. Staff have an excellent understanding of safety requirements for residents and the importance of finding alternatives to using restraints or enablers. Evaluation of the restraint free status occurs regularly as part of the Standard requirement and is celebrated by the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1"/>
        <w:gridCol w:w="1280"/>
        <w:gridCol w:w="7639"/>
        <w:gridCol w:w="1815"/>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had several forms related to bowel management that were not fully completed. One of the files had inconsistencies in the interRAI assessment compared to what was in the care plan, one file did not have the care evaluation clearly documented and one file did not have the long-term care plan recorded within three weeks of the resident’s admission. The recording of the medication fridge temperature on the upper level of the facility have been inconsistently documented. Individually these issues did not constitute systemic issues within the care planning process, though combined, there is an overall improvement required to ensure information is recorded accurately and in a timely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Forms related to resident care/interventions and environment recordings are not always fully or accurately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entered consistently and accurately into the clinical records.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573"/>
        <w:gridCol w:w="50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Continuous improvement is evident throughout the functions of all resident, staff, management and governance meetings. Information and quality data is shared openly and corrective actions developed collaboratively at every level of the organisation. Opportunities for improvement are pursued by residents, families, staff, and managers alike and evaluation of all aspects of residents’ well-being occurs to ensure quality safe care. The recent implementation of an electronic quality data system has enabled ease of data reporting, analysis, and sharing of data. Evaluation of the system has already resulted in improvements to the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quality assurance data project is rated beyond the expected full attainment. The quality improvement project sighted had a documented review process which included analysis and reporting of findings to management and staff. Documentation evidences action taken based on findings and improvements to the system. Staff and resident satisfaction with the quality data reporting has been measured as part of the review process. Residents and family interviewed reported increased satisfaction with the quality of the data being shared.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Continuous improvement was evident in the areas of orientation and ongoing training with the development of a comprehensive orientation self-learning package and the development of a training coordinator role for the orientation of carers. This senior carer works alongside new carers as an initial ‘buddy’ and then as an ongoing mentor to ensure best practice is provided. The role has been developed to include assessing against the training modules and a weekly health and well-being ‘drop-in’ session is provided to further support all carers. Any decline in service delivery results in immediate reinstatement of the buddy system with the training coordinator. Carers demonstrated a high level of engagement and satisfaction with their orientation and ongoing training opportunities.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orientation project is rated beyond full attainment. Evaluation of the role and orientation package included analysis and reporting of findings to management and staff. Documentation evidences action taken based on findings indicates staff are providing a higher standard of care to residents earlier in their employment.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conducted quality improvement projects into the presentation of the textured modified food and the plating presentation of other foods, increasing variety of the foods and fluids. The residents and family/whānau have been involved in the review and suggestions for the meals. The project included the analyses and reporting of satisfaction surveys and feedback related to the food. The outcomes include residents’ increasing satisfaction with the variety of food, more choices, the residents choosing their meal options each day, the presentation and plating of normal and special diets (including textured modified foods), and the reduced number of residents that have triggers for potential malnutrition. The analysis for the improved health outcomes data for April 2017 recorded that no residents have triggers for potential undernourishment.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quality projects related to the presentation and variety of foods and fluids is rated beyond the expected full attainment. The quality improvement projects sighted have a documented review process which includes analysis and reporting of findings to management, staff, residents and family/whanau. The projects documentation evidences action taken based on findings and improvement to the presentation and variety of food and fluids on offer. Resident safety and/or satisfaction has been measured because of the review process, which evidences positive outcomes, increasing resident satisfaction, and reducing the number of residents that have triggers for potential undernourishment. Several of the residents and family/whanau interviewed reported that the meals are of a ‘restaurant quality’ and that the presentation of the textured modified food is appetising.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regional flooding in 2015 evaluation of the emergency systems was performed in conjunction with the DHB and then at facility level. This review resulted in the development of a set of easy to comprehend laminated photographs of all switches and equipment RNs and care staff may need to access in an emergency, without the assistance of maintenance staff.  Examples included, turning on the generator, to provide power to the laundry, kitchen and lift and accessing the external water storage.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emergency planning for energy and utility failure is rated beyond the expected full attainment. The laminated instructions sighted had been through a review process which included analysis and reporting of findings to management and staff. Documentation evidences action taken based on findings and improvements to the system. Increased resident and staff safety with the improved information has been measured as part of the review process. Staff interviewed reported increased satisfaction with the quality of the information available to them in an emergency.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conducted several quality improvement projects in 2016/ 2017 related to reducing the overall number of infections and infections with residents who have an indwelling catheter inserted. The projects sampled demonstrated an analysis of the number of infection prior to the project, the benchmarking threshold level of infections, and developed strategies for reducing infections. The strategies include staff and resident education, development and implementation of a catheter care competency and updating of policies and procedures. Resident satisfaction was measured as part of the review, which included resident and family satisfaction and improvements in the resident’s wellbeing because of reduced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outcomes of the project recorded reductions in infections in the eight-month period since the implementation of the new processes (these residents previously had frequent infections). All the RNs have completed the catheter competency and the care staff have attended the catheter care education. The reporting of the analysis and outcomes of the project were presented to the management team, the nurses and general staff meetings. The benchmarking results record that the facility is below the benchmark threshold for infections. The service has no use of prophylactic antibiotics and one resident who previously had regular infections has not required antibiotics for 10 months and the resident’s kidney function has improved. This resident’s overall wellbeing has improved with reduced confusion and restlessness. The resident’s family/whanau report that they are highly satisfied with the improvements they have sighted in the family member over the 10-month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infection prevention and control project related to reducing infections with residents who have an indwelling catheter is rated beyond the expected full attainment. The quality improvement projects sighted have a documented review process which includes analysis and reporting of findings to management and staff. The projects documentation evidences action taken based on findings and improvement to service provision. Resident safety and satisfaction has been measured because of the review process, which evidences positive outcomes in reducing infections and increasing residents’ wellbeing.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last resident to use cot sides did so voluntarily, as an enabler and at their insistence, for their comfort and sense of security. This person was educated, encouraged and supported over a period, to feel safe and secure with alternative supports. The resident and family expressed satisfaction that cot sides are no longer being used.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enabler elimination project related to the elimination of enabler use by the only resident using an enabler is rated beyond the expected full attainment. The quality improvement project sighted had a documented review process which included analysis and reporting of findings to management, staff, residents and families. The project documentation evidenced actions taken based on findings and improvement to service provision. Resident safety and satisfaction has been measured because of the review process, which evidences positive outcomes in staff and resident understanding of the need to seek alternatives to the use of enablers.  The enabler and restraint-free environment has increased residents’ wellbeing and staff job satisfaction.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Johns Hill Healthcare Limited - St Johns Hill Healthcare</w:t>
    </w:r>
    <w:bookmarkEnd w:id="58"/>
    <w:r>
      <w:rPr>
        <w:rFonts w:cs="Arial"/>
        <w:sz w:val="16"/>
        <w:szCs w:val="20"/>
      </w:rPr>
      <w:tab/>
      <w:t xml:space="preserve">Date of Audit: </w:t>
    </w:r>
    <w:bookmarkStart w:id="59" w:name="AuditStartDate1"/>
    <w:r>
      <w:rPr>
        <w:rFonts w:cs="Arial"/>
        <w:sz w:val="16"/>
        <w:szCs w:val="20"/>
      </w:rPr>
      <w:t>4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