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Horowhenua Masonic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Horowhenua Masonic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July 2017</w:t>
      </w:r>
      <w:bookmarkEnd w:id="7"/>
      <w:r w:rsidRPr="009418D4">
        <w:rPr>
          <w:rFonts w:cs="Arial"/>
        </w:rPr>
        <w:tab/>
        <w:t xml:space="preserve">End date: </w:t>
      </w:r>
      <w:bookmarkStart w:id="8" w:name="AuditEndDate"/>
      <w:r w:rsidR="00A4268A">
        <w:rPr>
          <w:rFonts w:cs="Arial"/>
        </w:rPr>
        <w:t>6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HealthCERT has requested that specific reference to the reconfiguration of services be included in this audit. The service is currently changing part of one of the units by reconfiguring three rest home bedrooms into one dual purpose bedroom with an ensuite and two care suites under an occupied rights agreement. When completed, the total number of available beds will remain at 76.</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Horowhenua Masonic Village can provide residential care for up to 76 residents. On the first day of this audit there were 70 beds occupied, including residents under an occupational right agreement. The facility is operated by Masonic Care Limited.  </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 and the district health board contract.  The audit process included review of policies and procedures, review of residents’ and staff files, observations and interviews with residents, families, management, staff, a general practitioner and other allied health professionals.</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 xml:space="preserve">Resident who identify as Māori have their needs met in a manner that respects their cultural values and beliefs.  There is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The service has strong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village manager and clinical nurse manager are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 provided.  A strategic business plan and quality and risk management systems are fully implemented at Horowhenua Masonic Village. The documented scope, direction, goals, values, and a mission statement were reviewed. Systems are in place for monitoring the service provided including regular reporting by the village manager to the governing body.</w:t>
      </w:r>
    </w:p>
    <w:p w:rsidRPr="00A4268A">
      <w:pPr>
        <w:spacing w:before="240" w:line="276" w:lineRule="auto"/>
        <w:rPr>
          <w:rFonts w:eastAsia="Calibri"/>
        </w:rPr>
      </w:pPr>
      <w:r w:rsidRPr="00A4268A">
        <w:rPr>
          <w:rFonts w:eastAsia="Calibri"/>
        </w:rPr>
        <w:t xml:space="preserve">The facility is managed by an experienced and suitably qualified manager who is supported by a clinical nurse manager and three charge nurses. The clinical nurse manager is responsible for the oversight of the clinical service in the facility. </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Accident/incident forms and meeting minutes evidenced corrective action plans are developed, implemented, monitored and signed off as being completed to address the issue/s that require improvement.  Quality, health and safety, various staff and resident meetings are held on a regular basis.</w:t>
      </w:r>
    </w:p>
    <w:p w:rsidRPr="00A4268A">
      <w:pPr>
        <w:spacing w:before="240" w:line="276" w:lineRule="auto"/>
        <w:rPr>
          <w:rFonts w:eastAsia="Calibri"/>
        </w:rPr>
      </w:pPr>
      <w:r w:rsidRPr="00A4268A">
        <w:rPr>
          <w:rFonts w:eastAsia="Calibri"/>
        </w:rPr>
        <w:t xml:space="preserve">The hazard register evidenced review and updating of risks and the addition of new risks. The health and safety representative has completed an update on the Health and Safety at Work Act (2015) requirements.     </w:t>
      </w:r>
    </w:p>
    <w:p w:rsidRPr="00A4268A">
      <w:pPr>
        <w:spacing w:before="240" w:line="276" w:lineRule="auto"/>
        <w:rPr>
          <w:rFonts w:eastAsia="Calibri"/>
        </w:rPr>
      </w:pPr>
      <w:r w:rsidRPr="00A4268A">
        <w:rPr>
          <w:rFonts w:eastAsia="Calibri"/>
        </w:rPr>
        <w:t>There are policies and procedures on human resources management. Human resources processes are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practice.  Registered nurses are rostered on duty at all times. The clinical nurse manager, charge nurses and the village manager are on call after hours.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and a designated general practitioner.   On call arrangements for support from registered nurses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A current building warrant of fitness is displayed. A preventative and reactive maintenance programme includes equipment and electrical checks.</w:t>
      </w:r>
    </w:p>
    <w:p w:rsidRPr="00A4268A">
      <w:pPr>
        <w:spacing w:before="240" w:line="276" w:lineRule="auto"/>
        <w:rPr>
          <w:rFonts w:eastAsia="Calibri"/>
        </w:rPr>
      </w:pPr>
      <w:r w:rsidRPr="00A4268A">
        <w:rPr>
          <w:rFonts w:eastAsia="Calibri"/>
        </w:rPr>
        <w:t>Part of one of the units is currently being reconfigured to provide one bigger bedroom with a full ensuite that will be dual purpose (accommodation for rest home or hospital level care) and two care suites under an occupational right agreement.</w:t>
      </w:r>
    </w:p>
    <w:p w:rsidRPr="00A4268A">
      <w:pPr>
        <w:spacing w:before="240" w:line="276" w:lineRule="auto"/>
        <w:rPr>
          <w:rFonts w:eastAsia="Calibri"/>
        </w:rPr>
      </w:pPr>
      <w:r w:rsidRPr="00A4268A">
        <w:rPr>
          <w:rFonts w:eastAsia="Calibri"/>
        </w:rPr>
        <w:t>Single accommodation is provided. Adequate numbers of additional bathrooms and toilets are available. There are several lounges, dining areas and alcoves. External areas for sitting and shading is provided.</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were safely stored. Laundry is washed on site and off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restraint and one resident using an enabler during the audit. Appropriate documentation including a current restraint register was in place.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resource nurse, aims to prevent and manage infections. There are terms of reference for the infection control committee which meets monthly.  Specialist infection prevention and control advice is able to be accessed from an external infection control advisory group.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09"/>
        <w:gridCol w:w="1280"/>
        <w:gridCol w:w="91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Horowhenua Masonic Village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consent for photographs, outings, names on doors and the collection and sharing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records.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how to access the Advocacy Service. A residents’ advocate runs the residents’ meetings, and interview verifies discussion on the service comes up at meetings. The advocate is available to assists residents with accessing services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there is complaints information and forms available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showed 27 complaints have been received since the previous audit. Actions taken, through to an agreed resolution, was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(VM) and the clinical nurse manager (CNM) are responsible for the management of complaints and follow up. The quality coordinator is responsible for keeping the register up to date. Staff interviewed confirmed a good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VM and CNM reported there have been no investigations by the Health and Disability Commissioner,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discussion with staff and discussion with the residents’ advocate at residents’ meetings.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enabling resident’s opportunity for privacy when requested. All residents have a single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maximising opportunities for residents to be independent, enabling participation in decisions that concern residents and participation in outings and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to Māori residents.  Guidance on tikanga best practice is available. The Maori health framework group operating within the facility initiates a Maori perspective in all aspects of the facilities management and are recognised as an integral part of the day to day operations. Local Maori health services support the organisation. Two residents who identified as being of Maori descent, had their needs to not identify with the Maori culture recognised. Their culture was about being free to access family and spiritual needs as and when they saw fit.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employment agreement.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physiotherapist, tissue viability nurse, dietician, services for older people, occupational therapist, speech language therapist, infection control advisors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have access to on line learning sites to support contemporary good practice. Three RNs have the support of the organisation to undertake post graduate training to enable improved resident outcomes around medication management and prescribing.</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evidence of the organisation’s commitment to improving the provision of quality care in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working in collaboration with the local District Health Board (DHB), other aged care providers and the hospice to pilot a project focussing on supportive education and quality palliative care (Sequal). The organisation is involved in trialling a variety of initiatives to identify the best management strategies to ensure quality palliative care is provided irrespective of the setting. A phone interview with the project leader supported the organisation’s input and commitment to the project.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(CNM) is working with the renal unit at the DHB to improve outcomes for residents in aged care facilities receiving dialysis. This has resulted in an on-line learning package being available to assist nurses in aged care working with these residents.</w:t>
            </w:r>
          </w:p>
          <w:p w:rsidR="00EB7645" w:rsidRPr="00BE00C7" w:rsidP="00BE00C7">
            <w:pPr>
              <w:pStyle w:val="OutcomeDescription"/>
              <w:spacing w:before="120" w:after="120"/>
              <w:rPr>
                <w:rFonts w:cs="Arial"/>
                <w:b w:val="0"/>
                <w:lang w:eastAsia="en-NZ"/>
              </w:rPr>
            </w:pPr>
            <w:r w:rsidRPr="00BE00C7">
              <w:rPr>
                <w:rFonts w:cs="Arial"/>
                <w:b w:val="0"/>
                <w:lang w:eastAsia="en-NZ"/>
              </w:rPr>
              <w:t>Both these initiatives are ongoing and results are not able to be evaluated at this stage.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via the national interpreter service when required. Staff knew how to do so, although reported this was rarely required due to all present residents being either able to speak English or family members being available for residents whom English is not their first language.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communicating effectively with residents and family.  There was appropriate communication for the needs of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Masonic Care Limited is governed by a board of trustees who meet throughout the year.  The village manager reports to the chief executive officer (CEO) monthly and the CEO presents a combined report to the board which includes a wide range of subjects including facility performance, care reporting, HDC investigations and sector issues. The village manager and CEO confirmed this. The CEO advised they have weekly contact with the village manager.</w:t>
            </w:r>
          </w:p>
          <w:p w:rsidR="00EB7645" w:rsidRPr="00BE00C7" w:rsidP="00BE00C7">
            <w:pPr>
              <w:pStyle w:val="OutcomeDescription"/>
              <w:spacing w:before="120" w:after="120"/>
              <w:rPr>
                <w:rFonts w:cs="Arial"/>
                <w:b w:val="0"/>
                <w:lang w:eastAsia="en-NZ"/>
              </w:rPr>
            </w:pPr>
            <w:r w:rsidRPr="00BE00C7">
              <w:rPr>
                <w:rFonts w:cs="Arial"/>
                <w:b w:val="0"/>
                <w:lang w:eastAsia="en-NZ"/>
              </w:rPr>
              <w:t>A strategic plan 2016-2021 includes a purpose, vision, mission statement, values and operating environment. A flow chart sets out several goals for the organisation,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and other services involved in referring people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village manager (VM) who has been in this position for eight years. The village manager is supported by a clinical nurse manager who is a registered nurse and was appointed to their current position in 2011.  The CNM is responsible for oversight of clinical care.</w:t>
            </w:r>
          </w:p>
          <w:p w:rsidR="00EB7645" w:rsidRPr="00BE00C7" w:rsidP="00BE00C7">
            <w:pPr>
              <w:pStyle w:val="OutcomeDescription"/>
              <w:spacing w:before="120" w:after="120"/>
              <w:rPr>
                <w:rFonts w:cs="Arial"/>
                <w:b w:val="0"/>
                <w:lang w:eastAsia="en-NZ"/>
              </w:rPr>
            </w:pPr>
            <w:r w:rsidRPr="00BE00C7">
              <w:rPr>
                <w:rFonts w:cs="Arial"/>
                <w:b w:val="0"/>
                <w:lang w:eastAsia="en-NZ"/>
              </w:rPr>
              <w:t>Review of the managers' personal files and interview of the VM and CNM evidenced they have undertaken on going education in relevant areas.</w:t>
            </w:r>
          </w:p>
          <w:p w:rsidR="00EB7645" w:rsidRPr="00BE00C7" w:rsidP="00BE00C7">
            <w:pPr>
              <w:pStyle w:val="OutcomeDescription"/>
              <w:spacing w:before="120" w:after="120"/>
              <w:rPr>
                <w:rFonts w:cs="Arial"/>
                <w:b w:val="0"/>
                <w:lang w:eastAsia="en-NZ"/>
              </w:rPr>
            </w:pPr>
            <w:r w:rsidRPr="00BE00C7">
              <w:rPr>
                <w:rFonts w:cs="Arial"/>
                <w:b w:val="0"/>
                <w:lang w:eastAsia="en-NZ"/>
              </w:rPr>
              <w:t>Horowhenua Masonic Village has recently won two categories in the Kapiti-Horowhenua business awards; winner of the medium-large business 2016 and employer of choice achievement award.</w:t>
            </w:r>
          </w:p>
          <w:p w:rsidR="00EB7645" w:rsidRPr="00BE00C7" w:rsidP="00BE00C7">
            <w:pPr>
              <w:pStyle w:val="OutcomeDescription"/>
              <w:spacing w:before="120" w:after="120"/>
              <w:rPr>
                <w:rFonts w:cs="Arial"/>
                <w:b w:val="0"/>
                <w:lang w:eastAsia="en-NZ"/>
              </w:rPr>
            </w:pPr>
            <w:r w:rsidRPr="00BE00C7">
              <w:rPr>
                <w:rFonts w:cs="Arial"/>
                <w:b w:val="0"/>
                <w:lang w:eastAsia="en-NZ"/>
              </w:rPr>
              <w:t>Horowhenua Masonic Village is certified to provide hospital level, and rest home level care, including 13 dual purpose beds. On the day of this audit there were 35 hospital level care residents and 35 rest home level care residents. This includes six residents under the ‘Occupational Right to Occupy Agreement’. There are currently three residents with either an intellectual and/or physical disability, two of whom are under the age of 65 years and one resident is aged 65 years.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with the DHB for ‘Complementary Care Services’ – a dedicated respite bed funded at hospital level, ‘Aged care residential Care’, and ‘Health Recovery Beds’. A contract is also held with the Ministry of Health for an ‘Outcome Agreement’ for the residents with intellectual and/or physical disabilities,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village manager, the clinical nurse manager deputises with support from the administer and quality coordinator. When the CNM is absent, a charge nurse takes responsibility for clinical overview. The VM and the CNM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2017 guides the quality programme and includes goals and objectives. An internal audit programme is in place and internal audits completed for 2016 and 2017 were reviewed, along with processes for identification of risks. Risks are identified, and there is a hazard register that identifies health and safety risks as well as risks associated with human resources management, legislative compliance, contractual risks and clinical risk.  A health and safety manual is available that includes relevant policies and procedures. The health and safety coordinator is responsible for hazards and demonstrated a sound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Management, infection control, health and safety, staff, unit and RN/EN meetings are held monthly and minutes were reviewed. The village manager, clinical nurse manager and quality manager stated quality data is discussed at the various meetings. Review of meeting minutes and interviews of staff confirmed this. Care staff reported that copies of meeting minutes are available for them to review in the staff areas.</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is recorded on various registers and forms and were reviewed. Quality improvement data included adverse event forms, internal audits, meeting minutes, satisfaction surveys and health and safety. There was documented evidence of data being collected, collated, analysed to identify trends and reported. Corrective action plans are being developed, implemented, monitored and signed off as being completed. Benchmarking is also provided by an external agency and with other facilities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Relevant standards are identified and included in the policies and procedures manuals.  Policies and procedures reviewed are relevant to the scope and complexity of the service, reflect current accepted good practice, and reference legislative requirements. The ‘Risk Management Policy’ includes interRAI requirements.  Policies and procedures are available with systems in place for reviewing and updating the policies and procedures. All policies and procedures were current.  Staff confirmed they are advised of updated policies and that they provide appropriate guidance for the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Horowhenua Masonic is part of a project with the Arohanui Hospice relating to palliative care. The project is in response to the recognition by the Ministry of Health for the need to provide quality palliative care to all, regardless of diagnosis or care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that includes completed neurological observations and falls risk assessments completed following accidents/incidents as appropriate. These are collated by the quality coordinator. The original forms are kept in the residents’ files.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policy.  Residents’ files evidenced communication with families following adverse events involving the resident, or any change in the resident’s condition.  Families confirmed they are advised in a timely manner following any adverse event or change in their relative’s condition. The satisfaction surveys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VM and CNM advised there have been two essential notifications (Section 31) made to the Ministry of Health and notification to the local DHB relating to an infection outbreak,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education is a strength of the service. The programme is the responsibility of the CNM who has developed innovative ways of encouraging staff to attend sessions.  In-service education is provided for staff in several ways, including on line learning, compulsory study days and specific topics relating to residents’ health status at handovers. External speakers are utilised. Staff also attend other external education. Individual records of education including current competencies are held on staff files and electronically. Attendance records are maintained and show high levels of attendance. Six RNs are interRAI trained and have current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CNM advised a New Zealand Qualification Authority education programme will shortly be re-introduced for staff to complete. Three staff members are assessors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Three senior RNs are enrolled into postgraduate studies at Massey University to become nurse prescribers. Seven of the 16 RNs have achieved achieved proficient professional development recognition programme(PDRP), four RNs have achieved at competent level and two RNs are currently completing the nursing entry to practice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entire orientation process, including completion of competencies, takes up to six weeks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to provide safe service delivery.  Registered nurse cover is provided 24 hours, seven days a week.  On call after hours is provided by the VM, CNM and charge nurses. The minimum number of staff on duty is during the night and consists of one RN and three caregivers.  The RN is responsible for the whole facility and each unit has a caregiver.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reported it is envisaged that staffing levels will not need to be increased following the reconfiguration of the three bedrooms. Review of the rosters confirmed staffing levels on the morning and afternoon shifts throughout the facility are high for both RNs and care givers.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good staff cover and that they can get through their work. RNs and selected staff a have a current first aid certificate.  Residents and families reported staff provide them or their relative with a high level of care. The annual resident and family satisfaction surveys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tab/>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CNM. They are also provided with written information about the service and the admission process. The organisation seeks information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‘pink envelope’ system to facilitate transfer of residents to and from acute care services. There is open communication between all services, the resident and the family.  At the time of transition between services, appropriate information, including medication records, medication documentation, progress notes and advanced directive is provided for the ongoing management of the resident.  All referrals are documented in the progress notes. An example reviewed of a patient recently transferred to the local acute care facility showed a planned and co-ordinated approach.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self-administering non-blister packed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CNM and recorded on an accident/incident form. The resident and/or the designated representative are advised. There is a process for comprehensive analysis of any medication errors, and compliance with this process is verified. Evidence was sighted of a reduction in medication errors since the implementation of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are current and comply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planned by a qualified dietitian, who is on site fortnightly, in May 2017.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The cook has undertaken a safe food handling qualification, with kitchen assistants completing relevant food handling training, provided by the dietician.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and overseen by the dietician.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CNM.  There is a clause in the admission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cultural, spiritual and nutritional screening, as a means to identify any deficits and to inform care planning. The sample of care plans reviewed had an integrated range of resident-related information.  All residents under the Aged Related Residential Care contract (ARCC) have current interRAI assessments completed by one of six trained interRAI assessors on site. The service provides on-site dietittian services to all residents requiring specialist input with nutritional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who is supported by three recreation officers.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residents needs change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 events with other aged care facilities, outings to view the new motorway, attendance at community events and visits by community groups or entertainers. The activities programme is discussed following each event and residents’ input is sought and responded to.  Resident and family satisfaction surveys demonstrated satisfaction with the programme and that information is used to improve the range of activities offered. A previous request for activities to be provided over the weekends has been addressed. Residents interviewed confirmed they find the programme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interRAI/clinical reassessment or as residents’ needs change.  Evaluations are documented by the RN. Where progress is different from expected, the service responds by initiating changes to the plan of care. Short term care plans were consistently reviewed for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and include web-based consultations.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Safety data sheets were sighted throughout the facility and accessible for staff.  The hazard register is current.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in the sluice rooms and laundry that is appropriate to recognised risks.  Protective clothing was observed being used by staff. Staff interviewed had a sound understanding of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at the entrance to the facility that expires 1 June 2018.  The internal and external areas are maintained, safe and appropriate to the resident group and setting. Each unit has a sheltered courtyard with seating and shade.  Residents interviewed confirmed they can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Part of unit two is currently being reconfigured to provide one bigger bedroom with a full ensuite that will be dual purpose (accommodation for rest home or hospital level care) and two care suites under an occupational right agreement. The VM advised these rooms will be finished and occupied by the beginning of August. A certificate of public use was sighted for the re-configuration.</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the buildings, plant and equipment are maintained to a high standard.  Maintenance is undertaken by four maintenance people.  The testing and tagging of electrical equipment and calibration of bio-medical equipment was current.</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have a mix of full ensuites or ensuites with a toilet and wash hand basin. There are adequate numbers of additional bathrooms and toilets throughout the facility with engaged/vacant signage. Residents and families reported that there are sufficient toilets and they are easy to access. The reconfigured bedrooms have full ensuites.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suites are spacious with a mix of other rooms large and some smaller. Personal space is provided for residents and staff to move safely around in all the bedrooms.  Residents and families spoke positively about their or their relative’s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room in the facility to store mobility aids such as mobility scooters, wheelchairs and walkers.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Numerous areas are provided for residents to frequent for activities, dining, relaxing and for privacy.  Residents, families and staff confirmed and observation evidenced these areas are easily accessed.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 linen and towels are contracted out to an external laundry company and all other laundry is washed on site. Residents and families reported the laundry is managed well and residents’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to a high standard. There are dedicated cleaners on site who have received appropriate education.  The cleaners demonstrated a sound knowledge of processes. Residents and families stated the facility is always clean. The satisfaction surveys confirmed this. Chemicals are stored securely.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letter from the NZ Fire Service dated 9 April 2013 confirmed the fire evacuation scheme remains approved and operative. There is an evacuation policy on emergency and security situations that covers all service groups at the facility.  A fire drill takes place six-monthly. The orientation programme includes fire and security education.  Staff confirmed their awareness of emergency procedures. All required fire equipment was sighted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gas BBQs. Back up lighting and a generator are available should there be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Contractors must sign in and out of the facility. The external doors are alarmed at dusk and an external company completes checks throughout the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ORA care suites have call bells in the ensuites, bedrooms and living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heat pumps, water filled heaters and underfloor heating. Residents are provided with safe ventilation, and an environment that is maintained at a safe and comfortable temperature. All resident areas are provided with natural light. Residents and families reported the temperature is always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an external advisor. The IPC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three charge nurses is the designated IPC resource nurse, whose role and responsibilities are defined in a job description. Infection control matters, including surveillance results, are reported monthly to the IPC committee.  This committee includes the CNM, IPC resource nurse, the health and safety officer, quality co-ordinator and representatives from food services and household management. Surveillance data is presented at staff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resource nurse has appropriate skills, knowledge and qualifications for the role, and has been in this role for eight years.  She has attended relevant study days in IPC, as verified in training records sighted. The organisation has an external IPC advisor, with well-established expertise networks to guide them in any IPC related concerns. The nurse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resource nurse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last reviewed in 2016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IPC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IPC annual plan. Interviews, observation and documentation verified staff have received education in infection prevention and control at orientation and ongoing education sessions.  Education is provided by suitably qualified registered nurses, and the IPC resource nurse.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an outbreak of Norovirus occurred recently.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increasing fluids during hot weather and isolation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and management is documented in the residents’ clinical records and on infection reporting form. New infections and any required management plan are discussed at handover, to ensure early intervention occurs. The IPC resource nurse reviews all reported infections.  Monthly surveillance data is collated, recorded in the electronic IPC management system and analysed to identify any trends, possible causative factors and required actions. Results of the surveillance programme are shared with staff via quality meetings, staff meetings and at resident handovers as confirmed in meeting minutes sighted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Graphs are produced that identify trends for the current year, and comparisons against previous years and this is reported to the CNM, IPC committee and quality committee.  Data is benchmarked externally and within the group. Benchmarking has provided assurance that infection rates in the facility are at a rate comparable with other similar facilities. Monitoring of antibiotic use is included in surveillance analysis.</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norovirus outbreak was reviewed and demonstrated a thorough process for investigation and follow up.  Learnings from the previous outbreak in 2014 had been incorporated into practice. Comparisons of the events, verify the recent event was well managed and the outbreak was well contained.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that the use of restraint is actively minimised. There were nine residents using restraint and one resident using an enabler during the audit. The restraint coordinator is one of the charge nurses and demonstrated good knowledge relating to restraint minimisation. The restraint/enabler register is current and updated. The policies and procedures have definitions of restraints and enablers. Staff demonstrated good knowledge about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forms part of the RN/EN meetings. Restraint is also discussed at the staff meetings.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job description for the restraint coordinator was evident in the charge nurses file. Responsibilities of the restraint coordinator and approval group are clearly outlined. Restraints to be used by residents are approved by the restraint approval group prior to commencing the restraint, this includes the resident’s GP. The GP completes three-monthly reviews of the restraints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discussed in the quality and staff meetings. Staff confirmed their knowledge of the restraint processes. The restraint coordinator provides a quarterly restraint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are completed prior to commencing any restraint.  Risk factors are identified in the assessment and the purpose of the chosen restraint was documented. A care plan for restraint is developed that include objectives, goals and interventions. Long term care plans reviewed clearly documented desired outcomes.  Staff demonstrated good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Safe use of restraint is actively promoted. There is a current and updated restraint/enabler register. The restraint care plans include any risk factors and ensures the resident’s safety while using restraint.  Staff demonstrated good knowledge about restraints and strategies to promote resident safety while using restraint. There are restraint minimisation policies and procedures that are accessible for all staff to read. There were no restraint-related injuries reported. There were monitoring forms for all residents who are using restraint and these were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evaluated at least three-monthly by the restraint coordinator and the resident’s care plan six monthly. Consents and evaluation forms were signed by the GP and the resident’s family/EPOA. The evaluation form included the effectiveness of the restraint and the risks documented in the care plans. Staff confirmed their feedback was obtained by the restraint coordinator when evaluating the restraint in use. The restraint approval group evaluated the restraints in use at RN/EN meetings.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and the restraint approval group is responsible for monitoring and reviewing restraint. Restraint is also monitored through the internal audit programme. Identified issues are discussed at the management and RN/EN meetings and any corrective actions put in place. The facility has low-low beds and sensor mats in place to assist in reducing the use of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Horowhenua Masonic Village</w:t>
    </w:r>
    <w:bookmarkEnd w:id="58"/>
    <w:r>
      <w:rPr>
        <w:rFonts w:cs="Arial"/>
        <w:sz w:val="16"/>
        <w:szCs w:val="20"/>
      </w:rPr>
      <w:tab/>
      <w:t xml:space="preserve">Date of Audit: </w:t>
    </w:r>
    <w:bookmarkStart w:id="59" w:name="AuditStartDate1"/>
    <w:r>
      <w:rPr>
        <w:rFonts w:cs="Arial"/>
        <w:sz w:val="16"/>
        <w:szCs w:val="20"/>
      </w:rPr>
      <w:t>5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