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Athenree Lifecare (2016) Limited - Athenree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Athenree Lifecare (2016)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Athenree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June 2017</w:t>
      </w:r>
      <w:bookmarkEnd w:id="7"/>
      <w:r w:rsidRPr="009418D4">
        <w:rPr>
          <w:rFonts w:cs="Arial"/>
        </w:rPr>
        <w:tab/>
        <w:t xml:space="preserve">End date: </w:t>
      </w:r>
      <w:bookmarkStart w:id="8" w:name="AuditEndDate"/>
      <w:r w:rsidR="00A4268A">
        <w:rPr>
          <w:rFonts w:cs="Arial"/>
        </w:rPr>
        <w:t>21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Athenree Lifecare Limited provides hospital, rest home and dementia level care for up to 43 residents. The service is a family owned and operated service.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provider’s contract with the district health board. The audit process included the review of policies and procedures, the review of staff files, observations, and interviews with residents, family/whānau members, management, clinical and non-clinical staff and a general practitioner. </w:t>
      </w:r>
    </w:p>
    <w:p w:rsidRPr="00A4268A">
      <w:pPr>
        <w:spacing w:before="240" w:line="276" w:lineRule="auto"/>
        <w:rPr>
          <w:rFonts w:eastAsia="Calibri"/>
        </w:rPr>
      </w:pPr>
      <w:r w:rsidRPr="00A4268A">
        <w:rPr>
          <w:rFonts w:eastAsia="Calibri"/>
        </w:rPr>
        <w:t xml:space="preserve">There are three areas that require improvement related to the interRAI assessment timeframes, self-administration of medications and the review of the restraint minimisation programme. </w:t>
      </w:r>
    </w:p>
    <w:p w:rsidRPr="00A4268A">
      <w:pPr>
        <w:spacing w:before="240" w:line="276" w:lineRule="auto"/>
        <w:rPr>
          <w:rFonts w:eastAsia="Calibri"/>
        </w:rPr>
      </w:pPr>
      <w:r w:rsidRPr="00A4268A">
        <w:rPr>
          <w:rFonts w:eastAsia="Calibri"/>
        </w:rPr>
        <w:t xml:space="preserve">The service has exceeded the requirements and has gained a continuous improvement rating (excellence) for the implementation of several quality improvement projects. </w:t>
      </w:r>
    </w:p>
    <w:p w:rsidRPr="00A4268A">
      <w:pPr>
        <w:spacing w:before="240" w:line="276" w:lineRule="auto"/>
        <w:rPr>
          <w:rFonts w:eastAsia="Calibri"/>
        </w:rPr>
      </w:pPr>
      <w:r w:rsidRPr="00A4268A">
        <w:rPr>
          <w:rFonts w:eastAsia="Calibri"/>
        </w:rPr>
        <w:t>Feedback from residents and family/whānau members was positive about the care and services provided.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management team ensures that business and strategic planning strategies are in place, covering all aspects of service delivery. The goals and objectives are updated annually and show how services are planned and coordinated to meet residents’ needs. The goals are reviewed at the quality meetings.  </w:t>
      </w:r>
    </w:p>
    <w:p w:rsidRPr="00A4268A">
      <w:pPr>
        <w:spacing w:before="240" w:line="276" w:lineRule="auto"/>
        <w:rPr>
          <w:rFonts w:eastAsia="Calibri"/>
        </w:rPr>
      </w:pPr>
      <w:r w:rsidRPr="00A4268A">
        <w:rPr>
          <w:rFonts w:eastAsia="Calibri"/>
        </w:rPr>
        <w:t xml:space="preserve">One of the owners is a manager and is responsible for the overall management of the service. The facility manager is a registered nurse who has responsibility for the clinical aspects of service delivery.  </w:t>
      </w:r>
    </w:p>
    <w:p w:rsidRPr="00A4268A">
      <w:pPr>
        <w:spacing w:before="240" w:line="276" w:lineRule="auto"/>
        <w:rPr>
          <w:rFonts w:eastAsia="Calibri"/>
        </w:rPr>
      </w:pPr>
      <w:r w:rsidRPr="00A4268A">
        <w:rPr>
          <w:rFonts w:eastAsia="Calibri"/>
        </w:rPr>
        <w:t xml:space="preserve">The service has quality and risk management systems in place, covering all aspects of service delivery. The quality data and results from internal audits are collated, analysed and evaluated. When shortfalls are identified, a corrective action process is implemented. Documented quality and risk management activities results are shared among staff and residents/family as appropriate. </w:t>
      </w:r>
    </w:p>
    <w:p w:rsidRPr="00A4268A">
      <w:pPr>
        <w:spacing w:before="240" w:line="276" w:lineRule="auto"/>
        <w:rPr>
          <w:rFonts w:eastAsia="Calibri"/>
        </w:rPr>
      </w:pPr>
      <w:r w:rsidRPr="00A4268A">
        <w:rPr>
          <w:rFonts w:eastAsia="Calibri"/>
        </w:rPr>
        <w:t>The day to day operation of the facility is undertaken by staff who are appropriately experienced, qualified and educated. The service implements documented staffing levels to ensure contractual requirements are met and to meet residents’ needs.</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were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The rest home and hospital sections are separated from the secure dementia unit facilities.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Restraints were in use at the time of audit and include bed rails, lap belts and ‘fall out’ chair. An assessment, approval and monitoring process with regular informal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4"/>
        <w:gridCol w:w="1280"/>
        <w:gridCol w:w="91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and processes for residents unable to consent,was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manager provided examples involving support from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The complaints information has been revised, with the external advocate providing information and education sessions with residents and families. Forms are displayed and available at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contained all complaints, dates and actions taken. The complaints from 2016 were sampled and reviewed.  There were no recorded complaints to date in 2017. Each complaint was documented and completed within the required timeframes. Action plans showed any required follow up and improvements have been made where possible. Complaints are reviewed at the quality and staff meetings. Staff interviewed confirmed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an external complaint made through the district health board (DHB) since the last audit. The improvements have been implemented and signed off by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discussions with staff. The Code is displayed in the main reception area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their/their relative’s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and participating in community activities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and their 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in July of 2016 the majority respondents confirmed their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 family owned business. The service provides residential aged care at rest home level, hospital and specialist dementia care, with 43 residents at the time of audit. There were 14 residents living in the dementia unit, 13 at hospital level of care and 16 rest home level of care (which includes one respite resident). There were no residents under the age of 65.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business plan, which is reviewed annually, outlines the purpose, values, scope, direction and goals of the organisation. Objectives and goals are set each year with short term and longer term objectives for the year. There is a weekly report from the facility manager to the owners, to keep them informed of the service’s progress. In addition to the formal reports, one of the owners is onsite most days, with informal processes in place for monitoring the business. The clinical and non-clinical quality meetings review the ongoing progress with meeting the goals, objectives and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consists of the facility manager (a registered nurse) and one of the owners. The owners are a family, with one of the owners being responsible for the overall business management of the service. The facility manager has the responsibility and authority for the clinical services.  The responsibilities and accountabilities are defined in a job description and the quality plan. The facility manager and owner (business manager) have attended over eight hours of education in the past year related to aged care management. The owner and facility manager both demonstrated knowledge of the aged sector, regulatory and reporting requirements and maintain currency through attendance at conferences, ongoing professional development and membership with an aged care association.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at Athenree Lifecare has access and support from a wider aged care management service. This consists of advice and support for the management team, development of policies and procedures and the monitoring of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reported satisfaction with the care and services provided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facility manager is absent, one of the senior nurses carries out all the required duties under delegated authority. During absences of key clinical staff, the clinical management is overseen by a registered nurse who is experienced in the sector and able to take responsibility for any clinical issues that may arise. The facility manager is on call after hours. The service is currently developing a senior team leader role, to provide additional training to this RN, to take on the manager’s role in future absences and planned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and members of the management team demonstrated an understanding of the quality and risk processes that are identified in policy. Staff at all levels of the service report their involvement with the ongoing quality and risk management systems. There are quality meetings that consist of clinical and non-clinical members of staff. Staff stated that quality improvement was a team effort, they had increased their knowledge in this area, and that they had a better understanding of quality and risk and the significance for gaining better outcomes in care and service delivery. There have been several quality improvement projects that have contributed to improvements in resident outcomes and safety (refer to 1.2.3.5).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data and clinical indicators are collated, benchmarked and reviewed by the Athenree management team, as well as a contracted aged care management service. Data is trended and results presented at staff and management meetings. In addition to the monthly clinical indicators, the facility manager provides a weekly operation report of key aspects of service delivery to the owners.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the electronic accident/incident record. A sample of incidents showed these were fully completed, incidents were investigated, action plans developed and actions followed-up in a timely manner. Adverse event data is collated, analysed and reported to the health and safety meetings. The summary and actions implemented are presented at the quality meetings and the results external benchmarked through analysis of the clinical indicators. The data is used to make improvements at the individual resident level (such as changes in care planning) and the organisational level (improvements in equipment, processes and staffing allocations).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essential notification reporting requirements, including for pressure injuries. They advised there has been one notification (pressure injury) made to the Ministry of Health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sampled show documentation of completed orientation. A performance review is conducted after the initial orientation/induction period, then annually. One of the six staff files sampled did not evidence that a performance review had been completed within the past year; this did not reflect a systemic issue.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In-service education and training is provided at least monthly, presented by staff within the service or by external specialists. Staff are encouraged at attend external education. Education sessions have been conducted on skin management and the pressure injury prevention management programme in 2016 and 2017. There is one trained and competent registered nurse who maintains their annual competency requirements to undertake interRAI assessments. Three more registered nurses are in the process of completing the interRAI requirements. Attendance records sampled demonstrated completion of the required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who work in the dementia unit have completed or commenced the required dementia training. The activities programme is overseen by a contracted diversional therapist, with the onsite activities coordinator in the process of completing specialist dementia and diversional therapy training. The activities coordinator has links with other local activities and diversional therapists.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The rosters sampled evidence that contractual requirements for nursing and caregivers are maintained for night shift and exceeded for the day and afternoon shifts. There are activities staff and support staff to meet the needs of the residents and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is in place, with staff reporting that good access to advice is available when needed. Care staff reported there were adequate staff available to complete the work allocated to them. Residents and families interviewed supported this. Observations and review of rosters confirmed adequate staff cover has been provided, with staff replaced in any unplanned absence. At least one staff member on duty each shift and on any outings, have a current first aid qualification.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included interRAI assessment information entered into the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another facility showed evidence of verbal and written documentation and communication with the facility, family and support net.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GP reviews and changes in medication were evident in all residents’ files; however, 10 of 43 residents require three monthly GP medication review sign off on the residents’ medicine charts.  The 10 medication charts were signed off as required by the end of the audit as being reviewed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respite care resident self-administering medications at the time of audit, however processes in place have not been followed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kitchen manager and kitchen team and is in line with recognised nutritional guidelines for older people.  The menu follows summer and winter patterns and was reviewed by a qualified dietitian in April of 2016.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Western Bay of Plenty District Council, effective May 2017.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residents and family interviewed and in resident meeting minutes reviewed.  The July 2016 resident satisfaction survey showed that 91% of residents were happy overall with the food service.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support net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to identify any deficits and to inform care planning. The sample of care plans reviewed had an integrated range of resident-related information.   InterRAI assessments are completed by one trained interRAI assessor on site with two registered nurses in training.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Care plans evidence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very good.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activity co-ordinator.   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residents’ meetings, satisfaction surveys. Residents interviewed confirmed they find the programme relevant and interesting.</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there. Activities are offered at times when residents are most physically active and/or restless.  This included music and one to one interaction.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mental health services for older people and a gerontologist.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was displayed where necessary. An external company is contracted to supply and manage all chemicals and cleaning products and they also provide relevant training for staff. Safety data sheets are available where chemicals are stored and staff interviewed knew what to do should a chemical spill/event occur. 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was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are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 There is some generalised wear and tear, reflective of the age of building, with an ongoing maintenance and refurbishment plan to address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The rest home/hospital sections are separated from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service.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safely move around within their bedrooms. There is one shared room, with all other bedrooms’ single occupancy. All rooms in the dementia unit are single occupancy. Where rooms are shared approval has been sought, and a dividing curtain is in place. 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dining and lounge areas are spacious and enable easy access for residents and staff. Residents can access areas for privacy if required. Furniture is appropriate to the setting and residents’ needs. The rest home/hospital sections are separated from the secure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by laundry staff. The laundry staff demonstrated a sound knowledge of the laundry processes, dirty/clean flow and handling of soiled linen. Residents interviewed reported the laundry is managed well and their clothes are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stored in a lockable cupboard and were in appropriately labelled containers. Cleaning and laundry processes are monitored through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were displayed and known to staff. Disaster and civil defence planning guides direct the facility in their preparation for disasters and described the procedures to be followed in the event of a fire or another emergency. The service has conducted a quality project related to a community approach to civil defence and emergency planning (refer to 1.2.3.5).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in 2006. A trial evacuation takes place six-monthly with a copy sent to the New Zealand Fire Service.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number of residents. Water storage tanks are located onsite.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responded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many have doors that open onto outside garden or courtyard areas. Heating is provided by central heating in residents’ rooms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the infection clinical nurse specialist/team as required.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the designated IPC coordinator, whose role and responsibilities are defined in a job description. Infection control matters, including surveillance results, are reported monthly to the facility manager and tabled at the quality committee meeting.  This committee includes the owner, facility manager, RNs and activities co-ordinator.</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six months.  She has undertaken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April 2017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occurred in June 2017 when both residents and staff were diagnosed with respiratory tract infections.  Minutes of the staff meeting showed evidence of discussion around infection control and cough etiquette.   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manager/quality, IPC committee and at staff meetings.   Data is benchmarked externally and with other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in November 2016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seven residents were using restraints and no residents were using enablers.  A similar process is followed for the use of enablers as is used for restraints, should they be required.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is incorporated into the clinical quality committee and they are responsible for the approval of the use of restraints and the restraint processes. It was evident from review of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undertakes the initial assessment with the restraint coordinator’s involvement, and input from the resident’s family/whānau/EPOA. The RN/restraint coordinator described the documented process.  Families confirmed their involvement.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(eg, the use of sensor mats,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provides monthly feedback to the clinical quality meeting. The service requires a six-monthly quality review of the service’s use of restraint. This has not been competed since October 2016.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52"/>
        <w:gridCol w:w="1280"/>
        <w:gridCol w:w="5655"/>
        <w:gridCol w:w="1425"/>
        <w:gridCol w:w="14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who has been admitted under respite care in February of 2017 had an assessment completed to assess for competency of self-medication.  The assessment was signed by the admitting RN at the time.  The resident was readmitted two weeks ago, the RN has evidenced that the resident is asked daily if he has taken his medication and this is recorded.  In discussions with the resident and staff it is also evident that the resident is competent in the self-administering of his medication, however an updated assessment to assess for competency was not evident.  On observation, the resident was seen to be storing his medication in his bag in his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respite care resident is self-administering medication. They did not have a current and up to date competency assessment and the resident’s medications were not stored in a locked and secure location in his bedroom.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self-administering medicines have an assessment to review competency and all medications are stored securely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admitted to the facility had written initial assessments, short term and long-term care plans and evaluations provided within required timeframes.  It was evident from staff interviewed that they knew the residents well.  Family/whanau interviewed stated that they were happy with the care and communication provided. Seven of 43 residents did not have an up to date interRAI assessment.  Seven interRAI assessments have been completed by two registered nurse trainee assessors but remain in draft and were awaiting assessor sign off.   Seven interRAI assessments were overdue, three of those interRAI assessments were due in February 2017.  Of the remaining three residents, one resident was admitted under respite care and showed evidence of care plans, and two residents were newly admitted to the facility and remain with the 21-day timeframe.  The registered nurse interviewed stated that she became fully interRAI trained on the 23rd January 2017, however prior to her commencing at the facility in November 2016, 11 interRAI assessments were existing as overdue at the time.  A corrective action plan is currently in place to have all interRAI assessments up to date and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residents have an up to date interRAI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residents have an interRAI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quality review template that includes all aspects of this Standard. This is required to be completed six monthly. The last documented review in the quality committee meetings is recorded in October 2016. The restraint coordinator does provide a monthly verbal report of the individual resident’s restraint use to the clinical quality committee. An internal audit of the restraint minimisation and safe practice was conducted in January 2017, though this does not cover all aspects of the standard.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review of the services restraint practice has not been documented in the last six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six-monthly review of the restraint use is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5825"/>
        <w:gridCol w:w="54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conducted several quality improvement projects in 2016 and these continue into 2017. Three of the projects sampled included improvement in communication strategies, general practitioner round reviews and development of a community emergency response plan. The quality indicators are used as part of the doctor’s rounds, with the resident’s family invited to be present at the medical reviews. The care related projects are evidencing improvements in resident’s weight gain and reduction in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involved in the development of a local area emergency response plan, with innovative strategies developed for the relocation of residents in civil defence emergencies, with the involvement of the wider local community and other aged care services. </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was measured as part of the review, which included resident and family satisfaction and achievements against benchmarking and organisational targets. The reporting of the analysis and outcomes of the project were presented to the owners, the wider management consultancy provider, quality meetings, staff meetings, residents and family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quality projects and quality management systems is rated beyond the expected full attainment. The quality improvement projects sighted have a documented review process which included analysis and reporting of findings to the owners, management, staff, residents and families. The projects documentation evidenced action taken based on findings and improvement to service provision. Resident safety and satisfaction have been measured as part of the review process.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Athenree Lifecare (2016) Limited - Athenree Rest Home</w:t>
    </w:r>
    <w:bookmarkEnd w:id="58"/>
    <w:r>
      <w:rPr>
        <w:rFonts w:cs="Arial"/>
        <w:sz w:val="16"/>
        <w:szCs w:val="20"/>
      </w:rPr>
      <w:tab/>
      <w:t xml:space="preserve">Date of Audit: </w:t>
    </w:r>
    <w:bookmarkStart w:id="59" w:name="AuditStartDate1"/>
    <w:r>
      <w:rPr>
        <w:rFonts w:cs="Arial"/>
        <w:sz w:val="16"/>
        <w:szCs w:val="20"/>
      </w:rPr>
      <w:t>20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