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Trevellyn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Trevellyn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June 2017</w:t>
      </w:r>
      <w:bookmarkEnd w:id="7"/>
      <w:r w:rsidRPr="009418D4">
        <w:rPr>
          <w:rFonts w:cs="Arial"/>
        </w:rPr>
        <w:tab/>
        <w:t xml:space="preserve">End date: </w:t>
      </w:r>
      <w:bookmarkStart w:id="8" w:name="AuditEndDate"/>
      <w:r w:rsidR="00A4268A">
        <w:rPr>
          <w:rFonts w:cs="Arial"/>
        </w:rPr>
        <w:t>28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Trevellyn Rest Home and Village Oceania Healthcare Limited can provide care for up to 106 residents. Occupancy on the first day of the audit was 91. This certification audit was conducted against the Health and Disability Service Standards and the service contract with the district health board. The service provides rest home and hospital level care.</w:t>
      </w:r>
    </w:p>
    <w:p w:rsidRPr="00A4268A">
      <w:pPr>
        <w:spacing w:before="240" w:line="276" w:lineRule="auto"/>
        <w:rPr>
          <w:rFonts w:eastAsia="Calibri"/>
        </w:rPr>
      </w:pPr>
      <w:r w:rsidRPr="00A4268A">
        <w:rPr>
          <w:rFonts w:eastAsia="Calibri"/>
        </w:rPr>
        <w:t>The audit process included the review of policies and procedures, the review of residents and staff files, and observations and interviews with residents, families, management, staff and one medical officer.</w:t>
      </w:r>
    </w:p>
    <w:p w:rsidRPr="00A4268A">
      <w:pPr>
        <w:spacing w:before="240" w:line="276" w:lineRule="auto"/>
        <w:rPr>
          <w:rFonts w:eastAsia="Calibri"/>
        </w:rPr>
      </w:pPr>
      <w:r w:rsidRPr="00A4268A">
        <w:rPr>
          <w:rFonts w:eastAsia="Calibri"/>
        </w:rPr>
        <w:t xml:space="preserve">The regional manager, who is currently standing in as the acting business and care manager until the newly appointed business and care manager (BCM) starts in the new position, is responsible for the overall management of the facility and is supported by the executive management team. Service delivery is monitored. </w:t>
      </w:r>
    </w:p>
    <w:p w:rsidRPr="00A4268A">
      <w:pPr>
        <w:spacing w:before="240" w:line="276" w:lineRule="auto"/>
        <w:rPr>
          <w:rFonts w:eastAsia="Calibri"/>
        </w:rPr>
      </w:pPr>
      <w:r w:rsidRPr="00A4268A">
        <w:rPr>
          <w:rFonts w:eastAsia="Calibri"/>
        </w:rPr>
        <w:t>Improvements are required for the following; adverse event reporting, risk assessment, interRAI and restraint.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On admission to the service, residents, families and enduring power of attorney are provided with information required prior to giving informed consent. Time is provided if any discussions and explanation are required relating to the Health and Disability Commissioner's Code of Health and Disability Services Consumers' Rights (the Code). Information regarding the Health and Disability Commissioner's Code of Health and Disability Services Consumers' Rights (the Code), the complaints process and the Nationwide Health and Disability Advocacy Service is accessible in information packs and displayed within the service. Residents and family members confirmed their rights are met, staff are respectful of their needs and communication is appropriate. </w:t>
      </w:r>
    </w:p>
    <w:p w:rsidRPr="00A4268A">
      <w:pPr>
        <w:spacing w:before="240" w:line="276" w:lineRule="auto"/>
        <w:rPr>
          <w:rFonts w:eastAsia="Calibri"/>
        </w:rPr>
      </w:pPr>
      <w:r w:rsidRPr="00A4268A">
        <w:rPr>
          <w:rFonts w:eastAsia="Calibri"/>
        </w:rPr>
        <w:t>A complaints register is maintained. Complaints are managed as per timeframes in the Health and Disability Commissioner (HDC)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Trevellyn Rest Home and Village. The regional operations manager is currently acting as the business and care manager in a temporary role, and is qualified and experienced in management systems and processes. The clinical manager is new to the role and is therefore supported by the clinical and quality manager (regional), the operations manager (regional) and the senior clinical and quality manager (national), regarding oversight of the service and clinical care. </w:t>
      </w:r>
    </w:p>
    <w:p w:rsidRPr="00A4268A">
      <w:pPr>
        <w:spacing w:before="240" w:line="276" w:lineRule="auto"/>
        <w:rPr>
          <w:rFonts w:eastAsia="Calibri"/>
        </w:rPr>
      </w:pPr>
      <w:r w:rsidRPr="00A4268A">
        <w:rPr>
          <w:rFonts w:eastAsia="Calibri"/>
        </w:rPr>
        <w:t xml:space="preserve">Oceania Healthcare Limited has a documented quality and risk management system that supports the provision of clinical care at the service. Policies are reviewed at support office and are current. Quality and risk performance is conveyed through meetings at the facility and monitored by the organisation's management team through the monthly business status reports. Benchmarking reports are produced that include incidents/accidents, infections, complaints and clinical indicators. Resident information is identifiable, accurately recorded, current, confidential, accessible when required and securely stored.  </w:t>
      </w:r>
    </w:p>
    <w:p w:rsidRPr="00A4268A">
      <w:pPr>
        <w:spacing w:before="240" w:line="276" w:lineRule="auto"/>
        <w:rPr>
          <w:rFonts w:eastAsia="Calibri"/>
        </w:rPr>
      </w:pPr>
      <w:r w:rsidRPr="00A4268A">
        <w:rPr>
          <w:rFonts w:eastAsia="Calibri"/>
        </w:rPr>
        <w:t xml:space="preserve">There are human resource policies around recruitment, selection, orientation, staff training and development that are implemented. A recent review of staffing levels has been completed and flexible shifts have been implemented to facilitate any rise in residents’ acuity levels. Residents and family confirmed that staffing levels are adequate and residents and relatives have access to staff when needed.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works with Needs Assessment Coordination Services to ensure safe and appropriate entry into the service. Residents' needs are assessed on admission by registered nurses. Nurses use initial nursing risk assessments, including interRAI, for data collection to create initial care plans. Residents and/or their families contribute to care planning and evaluation of care.</w:t>
      </w:r>
    </w:p>
    <w:p w:rsidRPr="00A4268A" w:rsidP="00621629">
      <w:pPr>
        <w:spacing w:before="240" w:line="276" w:lineRule="auto"/>
        <w:rPr>
          <w:rFonts w:eastAsia="Calibri"/>
        </w:rPr>
      </w:pPr>
      <w:r w:rsidRPr="00A4268A">
        <w:rPr>
          <w:rFonts w:eastAsia="Calibri"/>
        </w:rPr>
        <w:t xml:space="preserve">Planned activities are managed by a diversional therapist and appropriate to the group setting. Resident and family interviews confirmed satisfaction with the activities programme.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There is an electronic medicine management system in place. Review of resident files confirmed administration records are accurate and there is timely review of medicines by the general practitioner. There were no residents self-administering medicines. </w:t>
      </w:r>
    </w:p>
    <w:p w:rsidRPr="00A4268A" w:rsidP="00621629">
      <w:pPr>
        <w:spacing w:before="240" w:line="276" w:lineRule="auto"/>
        <w:rPr>
          <w:rFonts w:eastAsia="Calibri"/>
        </w:rPr>
      </w:pPr>
      <w:r w:rsidRPr="00A4268A">
        <w:rPr>
          <w:rFonts w:eastAsia="Calibri"/>
        </w:rPr>
        <w:t>The menus are meeting national nutritional guidelines for older people, and have been reviewed by a registered dietitian.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The environment is appropriate to the needs of the residents. A preventative and reactive maintenance programme includes equipment and electrical checks.</w:t>
      </w:r>
    </w:p>
    <w:p w:rsidRPr="00A4268A">
      <w:pPr>
        <w:spacing w:before="240" w:line="276" w:lineRule="auto"/>
        <w:rPr>
          <w:rFonts w:eastAsia="Calibri"/>
        </w:rPr>
      </w:pPr>
      <w:r w:rsidRPr="00A4268A">
        <w:rPr>
          <w:rFonts w:eastAsia="Calibri"/>
        </w:rPr>
        <w:t>Residents are provided with accessible and safe external areas. Residents’ rooms are an appropriate size to allow for care to be provided and for the safe use and manoeuvring of mobility aids. Essential emergency and security systems are in place and fire drills completed every six months. Call bells are available to all residents and are monitored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service uses Oceania Healthcare Limited policies and procedures for restraint minimisation and safe practice, meeting the requirements of the standard. There are systems in place to ensure assessment of residents is undertaken prior to restraint or enabler use. The restraint coordinator confirmed that enabler use is voluntary. </w:t>
      </w:r>
    </w:p>
    <w:p w:rsidRPr="00A4268A">
      <w:pPr>
        <w:spacing w:before="240" w:line="276" w:lineRule="auto"/>
        <w:rPr>
          <w:rFonts w:eastAsia="Calibri"/>
        </w:rPr>
      </w:pPr>
      <w:r w:rsidRPr="00A4268A">
        <w:rPr>
          <w:rFonts w:eastAsia="Calibri"/>
        </w:rPr>
        <w:t xml:space="preserve">There were two residents using restraint and two residents using enablers on audit days. </w:t>
      </w:r>
    </w:p>
    <w:p w:rsidRPr="00A4268A">
      <w:pPr>
        <w:spacing w:before="240" w:line="276" w:lineRule="auto"/>
        <w:rPr>
          <w:rFonts w:eastAsia="Calibri"/>
        </w:rPr>
      </w:pPr>
      <w:r w:rsidRPr="00A4268A">
        <w:rPr>
          <w:rFonts w:eastAsia="Calibri"/>
        </w:rPr>
        <w:t>The residents’ files reviewed demonstrated that the service focuses on de-escalation processes, and restraint and enabler use is documented in residents’ care plans.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according to the requirements of the standard. Induction and orientation of new staff include training in infection control practices. The service has ongoing infection control education and training available for all staff. </w:t>
      </w:r>
    </w:p>
    <w:p w:rsidRPr="00A4268A">
      <w:pPr>
        <w:spacing w:before="240" w:line="276" w:lineRule="auto"/>
        <w:rPr>
          <w:rFonts w:eastAsia="Calibri"/>
        </w:rPr>
      </w:pPr>
      <w:r w:rsidRPr="00A4268A">
        <w:rPr>
          <w:rFonts w:eastAsia="Calibri"/>
        </w:rPr>
        <w:t>The surveillance programme is appropriate for the size and complexity of the services provided. Surveillance of infections is occurring according to the descriptions of the processes in the infection control programme. Infection prevention and control data is collected, collated, analysed and reported through all levels of the organisation, including governance. Infection control surveillance data is benchmarked internally against other Oceania Care Company Limited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44"/>
        <w:gridCol w:w="1280"/>
        <w:gridCol w:w="83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they receive services that meet their needs and they receive information in relation to their needs. Staff receive education on the Health and Disability Commissioner Code of Health and Disability Services Consumers' Rights (the Code) during their induction to the service and through the annual mandatory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All staff have had training on the Code during the previous 12 months. Examples were provided on ways the Code is implemented in their everyday practice including: maintaining residents' privacy; giving residents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auditors noted respectful attitudes towards residents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which is given to all residents on admission, includes information regarding informed consent. The ABCM, CM and registered nurses (RNs) discuss informed consent processes with residents and their families during the admission process. The informed consent policy and procedure includes guidelines for consent for resuscitation/advance directives and resuscitation orders, van outings; photographs being taken and clinical treatments that require written confirmation for consent.</w:t>
            </w:r>
          </w:p>
          <w:p w:rsidR="00EB7645" w:rsidRPr="00BE00C7" w:rsidP="00BE00C7">
            <w:pPr>
              <w:pStyle w:val="OutcomeDescription"/>
              <w:spacing w:before="120" w:after="120"/>
              <w:rPr>
                <w:rFonts w:cs="Arial"/>
                <w:b w:val="0"/>
                <w:lang w:eastAsia="en-NZ"/>
              </w:rPr>
            </w:pPr>
            <w:r w:rsidRPr="00BE00C7">
              <w:rPr>
                <w:rFonts w:cs="Arial"/>
                <w:b w:val="0"/>
                <w:lang w:eastAsia="en-NZ"/>
              </w:rPr>
              <w:t>Resident files identified that informed consent is obtained. Interviews with staff and residents confirmed their understanding of informed consent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relating to advocacy services is available at the entrance to the facility and in information packs provided to residents and family on admission to the service. Written information on the role of advocacy services is also provided to complainants at the time when their complaint is acknowledged. Staff training regarding advocacy services was last provided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confirmed that the service provides opportunities for the family/EPOA to be involved in decisions and they state that they have been informed about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confirmed they could visit at any time and are always made to feel welcome. The service has an open visiting policy and residents may have visitors of their choice at any time.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 networks.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A complaints register is in place and the register includes: the date the complaint is received; the source of the complaint; a description of the complaint; and the date the complaint is resolved. Complaint forms are available at the entrance of the facility.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relating to each lodged complaint is held in the complaints folder and register. Complaints reviewed indicated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CM is responsible for managing complaints and residents and family stated that these are dealt with as soon as they are identified. Residents and family members could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One coroner enquiry has been lodged since the previous audit and this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acting business and care manager (ABCM) and clinical manager (CM) discuss the Code with residents and their family on admission. Discussion relating to the Code is also included on the agenda and discussed at meetings. Resident and family interviews confirmed their rights are being upheld by the service. Information on the Code is given to next of kin or enduring power of attorney (EPOA) to read and discuss with the resident in private where appropriate. The posters displaying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each resident has the right to privacy and dignity. The service has a philosophy that promotes dignity, respect and quality of life.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own personal belongings are used to decorate their room in the hospital and rest home. There are regular presbyterian and catholic church services held in the facilities chapel and a chaplain is employed 20 hours a week. The activities programme provides a range of activities and outings and residents are encouraged to engage in community activities that they were involved in prior to been admitted into the facility. Care plans reviewed evidenced that resident’s independence and wishes are identified in assessments and documented in their plan of care.</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resident/patients practices and/or expressions of sexuality and intimacy in an appropriate and discreet manner with strategies documented to manage any inappropriate behaviour if there are any issues for residents and patients.</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knock on the door and identify themselves verbally before entering the room. This was observed on the days of the audit. Residents/patients and families confirmed that residents/patients’ privacy is respected. Some communal showers did not have locks and /or engaged signs, one of these doors was modified accordingly on the days of the site visit and the others were to be modified once parts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or on the incidents/accident forms reviewed in residents’ files. Residents, staff, family and the general practitioner confirmed that there was no evidence of abuse or neglect. Staff interviewed were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Resident/patients files reviewed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 which outlines how to work with Māori and the relevance of the Treaty of Waitangi. The rights of the residents/family to practise their own beliefs are acknowledged in the Māori health plan.</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files confirmed that specific cultural needs are identified in the residents’ care plans. The clinical quality manager (CQM) stated that a kaumātua can be accessed by the service to support staff on tikanga protocols and general advice. Staff are aware of the importance of whānau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confirmed there are choices for residents regarding their care and services. Residents and family are involved in the assessment and the care planning processes. Information gathered during assessment includes the residents’ cultural values and beliefs. The initial care plan, the long-term care plan and InterRAI assessment are based on this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access to DHB interpreting services when required. There is a multicultural staff mix who can translate for the current residents. Families are predominantly used as interpreters and advocates.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policies and procedures based on good practice, current legislation and guidelines. Staff confirmed awareness of how to identify and manage discrimination, abuse and neglect, harassment and exploitation. Staff training includes discussion of the staff code of conduct and prevention of inappropriate care. This training is covered in the orientation programme and the mandatory annual training programme delivered by Oceania Health Care Ltd. There were no complaints recorded in the complaints register for the previous 12 months relating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position including ethical issues relevant to the role. Staff complete orientation and induction includes recognition of discrimination, abuse and neglect. Staff confirmed their understanding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Ltd implements polices to guide best practice which are current, and have a document control system to ensure the polices are reviewed, researched  and align to the Health and Disability Services Standards. The organisation’s quality framework includes their internal audit programme. There is a training programme for all staff and staff are encouraged to attend and complete training. The service supports staff to attend external training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expressed a level of satisfaction with the care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information around what services are provided by the service. The admission agreements reviewed were signed on the day of admission. Staff are familiar with how translating and interpreting services can be accessed. Residents interviewed confirmed that they are well informed about their care and environmental changes.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guide staff on the process to ensure full and frank open disclosure is available. Family are informed if the resident has an incident/accident, has a change in health or a change in needs, as evidenced in completed accident/incident forms. Family contact is recorded in residents’ files. Family and residents confirmed that they are invited to the care planning meetings and are informed when the residents’ meetings are scheduled. Families confirmed they are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Trevellyn Home and Hospital is part of the Oceania Care Company Limited with the executive management team including the chief executive officer and general manager, regional operational manager and clinical and quality manager providing support to the service. Communication between the clinical and quality manager, the regional operations manager and the business and care manager takes place on a regular basis (at least once a month), with more support provided as required. Currently there is an interim management structure.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Care Company Limited has a clear mission, values and goals and staff interviewed could describe these. These are displayed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106 residents requiring rest home or hospital level of care. During the audit, the occupancy was 91; (57 residents requiring rest home level care and 34 requiring hospital level care). No additional contracts were held on audit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operations manager is currently standing in as the acting business and care manager until the newly appointed BCM starts. The clinical manager is a registered nurse with a current annual practicing certificate and evidence of at least eight hours training in management related topics. The clinical manager provides clinical oversight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the CM not being in the role long enough to stand in for the BCM, the service has a process in place that in the absence of the BCM, the operations manager or the CQM (regional) stands in. This is the current management structure. These roles are also supported by the national clinical and quality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Trevellyn Rest Home and Village uses the Oceania quality and risk management framework to guide practice. The service implements organisational policies and procedures to support service delivery. All policies are subject to reviews as required with all policies current. Oceania support office reviews all policies with input from business and care managers. Policies are linked to the Health and Disability Sector Standards, current and applicable legislation, and evidenced-based best practice guidelines. Policies are available to staff in hardcopy. New and revised policies are presented to staff to read and staff sign to evidence that they have read and understood the new/revised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incidents and accidents; complaints management; surveillance of infections; pressure injuries; soft tissue/wounds; and implementation of an internal audit programme. The corrective action plans are documented and evidence resolution of issues completed. Internal audits are completed in line with the quality audit schedule, with evidence of corrective actions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staff meeting minutes, including quality improvement, health and safety, and infection control. Evidence reviewed demonstrated communication with all staff around all aspects of quality improvement and risk management. There are bi-monthly resident meetings that keep residents informed of any changes. Staff reported that they are kept informed of quality improvements. Family are invited to come to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quarterly by the clinical and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for family and residents was completed in 2017 and reflected the satisfaction of the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in which the service would need to report and notify statutory authorities, including, police attending the facility; unexpected deaths; sentinel events; notification of a pressure injury; infectious disease outbreaks and changes in key managers. The Ministry of Health and district health board would be notified of any sentinel event. Four of the four pressure injuries that were identified as ‘stage 3’, were notified to the Ministry of health as requested by the audit team during the site visit and evidence was provided the following day.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at orientation and as part of the ongoing training programme on the incident and accident reporting process. Staff understand the adverse event reporting process and could describe the importance of recording near misses. Information gathered around incidents and accidents is analysed with evidence of improvements put in place. All incident and accidents forms reviewed did not have designations documented, this was also noted in the resident’s files as inconsistent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complete an orientation programme and health care assistants are paired with a senior health care assistant for shifts or until they demonstrate competency on a number of tasks including personal cares. Health care assistants confirmed their role in supporting and budding new staff. A new staff member interviewed confirmed they had an orientation programme. The registered nurses hold current annual practising certificates along with other health practitioners in the service. Staff files included appointment documentation including signed contracts; job descriptions; reference checks and interviews. There is an appraisal process in place with staff files indicating that all have an annual appraisal.</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 with an annual training schedule documented. Annual competencies are completed by clinical staff and evidence of completion of competencies is kept on staff files. Staff attendances are documented for internal training provided with some registered nurses and health care assistants attending.</w:t>
            </w:r>
          </w:p>
          <w:p w:rsidR="00EB7645" w:rsidRPr="00BE00C7" w:rsidP="00BE00C7">
            <w:pPr>
              <w:pStyle w:val="OutcomeDescription"/>
              <w:spacing w:before="120" w:after="120"/>
              <w:rPr>
                <w:rFonts w:cs="Arial"/>
                <w:b w:val="0"/>
                <w:lang w:eastAsia="en-NZ"/>
              </w:rPr>
            </w:pPr>
            <w:r w:rsidRPr="00BE00C7">
              <w:rPr>
                <w:rFonts w:cs="Arial"/>
                <w:b w:val="0"/>
                <w:lang w:eastAsia="en-NZ"/>
              </w:rPr>
              <w:t>Education and training hours are at least eight hours a year for each staff member. Seven of the registered nurses have interRAI training and staff have completed training around pressure injuries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meet resident acuity and bed occupancy. Following a recent staffing review, flexible shifts have been implemented to cover any increase in the acuity levels. Healthcare assistants also provide kitchen services in their roles.</w:t>
            </w:r>
          </w:p>
          <w:p w:rsidR="00EB7645" w:rsidRPr="00BE00C7" w:rsidP="00BE00C7">
            <w:pPr>
              <w:pStyle w:val="OutcomeDescription"/>
              <w:spacing w:before="120" w:after="120"/>
              <w:rPr>
                <w:rFonts w:cs="Arial"/>
                <w:b w:val="0"/>
                <w:lang w:eastAsia="en-NZ"/>
              </w:rPr>
            </w:pPr>
            <w:r w:rsidRPr="00BE00C7">
              <w:rPr>
                <w:rFonts w:cs="Arial"/>
                <w:b w:val="0"/>
                <w:lang w:eastAsia="en-NZ"/>
              </w:rPr>
              <w:t>There are 92 staff, including the management team, clinical staff, a diversional therapist, and household staff. There is always a registered nurse on each shift. The ABCM and CM are on call after hours.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described the procedures for maintaining confidentiality of resident records,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Entries were legible, dated and signed by the relevant health care assistant, registered nurse or other staff member, including their designation. Resident files are protected from unauthorised access by being locked away in the nurse’s stations for both the rest home and hospital wings.</w:t>
            </w:r>
          </w:p>
          <w:p w:rsidR="00EB7645" w:rsidRPr="00BE00C7" w:rsidP="00BE00C7">
            <w:pPr>
              <w:pStyle w:val="OutcomeDescription"/>
              <w:spacing w:before="120" w:after="120"/>
              <w:rPr>
                <w:rFonts w:cs="Arial"/>
                <w:b w:val="0"/>
                <w:lang w:eastAsia="en-NZ"/>
              </w:rPr>
            </w:pPr>
            <w:r w:rsidRPr="00BE00C7">
              <w:rPr>
                <w:rFonts w:cs="Arial"/>
                <w:b w:val="0"/>
                <w:lang w:eastAsia="en-NZ"/>
              </w:rPr>
              <w:t>Information containing sensitive resident information is not displayed in a way that could be viewed by other residents or members of the public. Individual resident files demonstrated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processes into the service are recorded and implemented. Needs assessments are completed for rest home and hospital level of care. The organisational information pack is available for residents and their family. The admission agreement defines the scope of the service, includes all contractual requirements and evidenced resident and/or family sign off.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review of records confirmed the admission process was completed by staff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exit, discharge or transfer is not always managed in a planned and coordinated manner, resulting in interRAI assessments not always being timely (see 1.3.3.3). There is open communication between the resident and the family.</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transition, appropriate information is supplied by the provider to the services responsible for the ongoing management of the resident. 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evidenced appropriate and secure medicine dispensing systems, free from heat, moisture and light. Medicines are stored in original dispensed packs. The drug registers are consistently maintained with registered nurses completing weekly checks. Six-monthly physical stocktakes are undertaken by the pharmacy. The medication refrigeration temperatures are completed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authorised to administer medicines have current competencies. Administration records and specimen signatures are maintained.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medicine charts evidenced current residents' photo identification, legibility, as required (PRN) medication is identified for individual residents and correctly prescribed. Three monthly medicine reviews are completed and discontinued medicines are dated and signed by the GPs. The residents' medicine charts record all residents’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provide guidelines and processes for residents to self-administer medicines. At the time of the audit there were no residents who self-administered medicine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dietary assessments on admission. Each resident has a dietary profile developed. Personal food preferences of the residents, special diets and modified nutritional requirements are known to the kitchen manager and accommodated in the daily meal plan. Special equipment, to meet residents’ nutritional needs, was sighted. Nutritional re-assessments were not completed for all residents who experienced changes to their health status/condition (see 1.3.4.2).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monthly monitoring of individual residents’ weight. Interviews with residents stated their satisfaction with the food service. Residents’ individual preferences are met and adequate food and fluids is provided.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verified by resident and family interviews, satisfaction surveys and resident meeting minutes. Fridge temperatures are monitored three times per day and food temperatures are monitored twice a day. The kitchen staff have all attended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complies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are in place to inform residents and family of the reasons why services had been declined, should this occur. Referral agencies are informed of the reasons for decline of entry. Residents and/or their family are referred to more appropriate services in the area.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for example: the resident; family; GP; specialist and the referrer. 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discharge and/or transfer information from the district health board (DHB) where required. The service has appropriate resources and equipment. The assessments are conducted in a safe and appropriate environment, usually the resident’s room, including visits from the GP. Interviews with residents and families confirmed their involvement in care planning, review and treatment.</w:t>
            </w:r>
          </w:p>
          <w:p w:rsidR="00EB7645" w:rsidRPr="00BE00C7" w:rsidP="00BE00C7">
            <w:pPr>
              <w:pStyle w:val="OutcomeDescription"/>
              <w:spacing w:before="120" w:after="120"/>
              <w:rPr>
                <w:rFonts w:cs="Arial"/>
                <w:b w:val="0"/>
                <w:lang w:eastAsia="en-NZ"/>
              </w:rPr>
            </w:pPr>
            <w:r w:rsidRPr="00BE00C7">
              <w:rPr>
                <w:rFonts w:cs="Arial"/>
                <w:b w:val="0"/>
                <w:lang w:eastAsia="en-NZ"/>
              </w:rPr>
              <w:t>There is a requirement for improvement relating to risk assessments; including interRAI assessment reviews to be conducted when the resident’s condition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individualised, integrated and up to date. Recorded interventions do not consistently reflect the risk assessments relating to the level of care required (see 1.3.4.2). InterRAI assessments are not consistently completed by RNs to inform the person centred care plans (see 1.3.3.3 and 1.3.4.2). </w:t>
            </w:r>
          </w:p>
          <w:p w:rsidR="00EB7645" w:rsidRPr="00BE00C7" w:rsidP="00BE00C7">
            <w:pPr>
              <w:pStyle w:val="OutcomeDescription"/>
              <w:spacing w:before="120" w:after="120"/>
              <w:rPr>
                <w:rFonts w:cs="Arial"/>
                <w:b w:val="0"/>
                <w:lang w:eastAsia="en-NZ"/>
              </w:rPr>
            </w:pPr>
            <w:r w:rsidRPr="00BE00C7">
              <w:rPr>
                <w:rFonts w:cs="Arial"/>
                <w:b w:val="0"/>
                <w:lang w:eastAsia="en-NZ"/>
              </w:rPr>
              <w:t>The short-term care plans are developed for the management of acute problems, when required, and signed off by the RN when problems are resolved. Interviews with residents confirmed they have input into their care planning and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interventions based on initial assessed needs, desired outcomes and goals of residents. The GP documentation and records are current. Interviews with residents and families confirmed current care and treatments meet residents’ needs. The service maintains family communication records in resident files. Nursing progress notes and observation charts are maintained by staff.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familiar with the needs of the residents who were allocated to their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diversional therapist (DT) confirmed the activities programmes meet the needs of the residents. The auditor reviewed the programmes for February to June 2017. The DT plans, records, implements and evaluates the activities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activities programme for the rest home and hospital. Regular exercises and outings are provided for those residents able to participate. The activity programmes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individualised activity care plans in residents’ files. The residents’ activities attendance records are maintained. Residents’ meeting minutes evidenced residents’ involvement and consultation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Change is noted and reported to the RN. Care plan evaluations and assessments occur every six months however, not when the residents’ condition changes (see 1.3.4.2).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initiated for short-term concerns, such as: infections; wound care; changes in mobility and other short-term conditions. Short-term care plans are reviewed daily, weekly or fortnightly, as indicated on the plan. The wound care plans evidence timely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processes in place to provide opportunities for residents to choose when accessing or when being referred to other health and/or disability services. The family communication sheets, located in the residents’ files, confirmed family involvement. The service has a multidisciplinary team approach. Progress notes and communication records confirmed residents and their family are advised of their options to access other health and disability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During a tour of the facility, protective clothing and equipment was observed in all high-risk areas. Chemicals are stored in a designated shed with chemical hazard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occurring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visitors to meet and there are areas that provide privacy when required. There are internal courtyards and lawns, areas with shade and outdoor table and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All toilet facilities have a system that indicates if it is engaged or vacant. 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Equipment was sighted in rooms requiring this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 There are designated areas to store mobility aids, hoists and wheelchairs. The hospital rooms are large enough to accommodate specific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can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ample space for residents. Residents can choose to have their meals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Laundry staff are required to return linen to the rooms. Residents and family members stated that the laundry standard met their requirements.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lockable cupboard to put chemicals in and the cleaners are aware that the trolley must be with them at all times. Cleaners were observed to be vigilant on the days of the audit around keeping the trolley in sight.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r w:rsidRPr="00BE00C7">
              <w:rPr>
                <w:rFonts w:cs="Arial"/>
                <w:b w:val="0"/>
                <w:lang w:eastAsia="en-NZ"/>
              </w:rPr>
              <w:t>Cleaners and laundry staff stated they receive monthly training from the company that provides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evacuation plan has been approved by the New Zealand Fire Service. An evacuation policy on emergency and security situations is in place. A fire drill is completed six monthly. The orientation programme includes fire and security training. Staff confirmed their awareness of emergency procedures. 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 with most staff having completed and have current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ovens in the kitchen and a Bar-b-que.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utilises a pager system. There are call bells in all resident rooms, resident toilets, and communal areas, including the hallways and dining rooms. Call bells are monitored to ensure that they are answered promptly and that all are operational. Residents and family stated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Staff complete a check in the evening that confirms security measures have been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confirmed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infection prevention and control policies and procedures manual provides information and resources to inform staff on infection prevention and control. Strategies are in place to prevent exposure of infections to others. The responsibility for infection control is clearly defined in the infection prevention and control policy, including the responsibilities of Oceania’s national infection control committee; infection control nurse and the infection control team. </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infection control nurse job description outlining responsibilities of the position. The infection control nurse is supported in their role by the business and care manager, the clinical and quality manager, the clinical manager and the infection control team. The infection control nurse is a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appropriate to the size and complexity of this service. Infection control is an agenda item at the facility’s meetings. The internal audit programme includes infection control audits to monitor their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are relevant to the service and reflect current accepted good practice and relevant legislative requirements. Policies are accessible to all personnel.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developed and reviewed regularly in consultation and input from relevant staff and external specialists. Infection control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education is provided to all staff. Infection control forms are part of staff orientation and education occurs as part of the ongoing in-service education programme. Interviews with staff advised that clinical staff identify situations where infection control education is required for a resident, including hand hygiene and cough etiquette.</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completed additional training for the role as the infection control nurse. The infection control staff education is provided by the ICN, RNs and external specialists. Education sessions have evidence of staff attendance and content of the presentations.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responsible for the surveillance programme. Monthly surveillance analysis is completed and reported at staff facility meetings. The type of surveillance undertaken is appropriate to the size and complexity of this service. Standardised definitions are used for the identification and classification of infection events, indicators or outcomes. Infection logs are maintained. Residents’ files evidenced the residents’ who were diagnosed with an infection, had a short-term care plan in place.</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through verbal handovers, short-term care plans, progress notes and communication with RNs and the clinical manager. There have been no outbreaks since the previous audit. The facility’s surveillance data is benchmarked against other Oceania facilities and this information is shared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wide policy is congruent with the definition in the standard. The process of assessment, care planning, monitoring and evaluation of restraint and enabler use is recorded in procedures. There were two residents at the facility using restraints and two residents using enablers during the on-site audit. The approval process for enabler use is activated when a resident voluntarily requests an enabler to assist them to maintain independence and/or safety.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staff records confirmed that restraint minimisation and safe practice (RMSP), enabler usage and de-escalation education and training is provided. Oceania support office maintain records of restraint use and analysis is completed monthly by the business and care and clinical and quality managers. National results indicated there has been a reduction in restraint used for the organisation due to the use of low/low beds and the use of perimeter mattresses.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clinical and quality team are responsible for approving any form or type of restraint practice used throughout Oceania facilities. Oversight of restraint use at individual Oceania facilities is the responsibility of restraint coordinators.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at Trevellyn is a registered nurse (RN). The responsibilities for this role are defined in the position description, sighted. The restraint coordinator has completed training in restraint minimisation and restraint management relevant to their role and could communicate their knowledge relating to the restraint minimisation standard. Restraint use has reduced from seventeen to two restraints over a period of five months.</w:t>
            </w:r>
          </w:p>
          <w:p w:rsidR="00EB7645" w:rsidRPr="00BE00C7" w:rsidP="00BE00C7">
            <w:pPr>
              <w:pStyle w:val="OutcomeDescription"/>
              <w:spacing w:before="120" w:after="120"/>
              <w:rPr>
                <w:rFonts w:cs="Arial"/>
                <w:b w:val="0"/>
                <w:lang w:eastAsia="en-NZ"/>
              </w:rPr>
            </w:pPr>
            <w:r w:rsidRPr="00BE00C7">
              <w:rPr>
                <w:rFonts w:cs="Arial"/>
                <w:b w:val="0"/>
                <w:lang w:eastAsia="en-NZ"/>
              </w:rPr>
              <w:t>Restraints are authorised following an assessment of the resident. The approval includes consultation with other members of the multidisciplinary team. The restraint consent forms evidenced consent for restraint is obtained from a GP, restraint coordinator and the resident and/or a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culturally safe practices, identification of desired outcomes and possible alternatives to restraint. </w:t>
            </w:r>
          </w:p>
          <w:p w:rsidR="00EB7645" w:rsidRPr="00BE00C7" w:rsidP="00BE00C7">
            <w:pPr>
              <w:pStyle w:val="OutcomeDescription"/>
              <w:spacing w:before="120" w:after="120"/>
              <w:rPr>
                <w:rFonts w:cs="Arial"/>
                <w:b w:val="0"/>
                <w:lang w:eastAsia="en-NZ"/>
              </w:rPr>
            </w:pPr>
            <w:r w:rsidRPr="00BE00C7">
              <w:rPr>
                <w:rFonts w:cs="Arial"/>
                <w:b w:val="0"/>
                <w:lang w:eastAsia="en-NZ"/>
              </w:rPr>
              <w:t>During assessing on whether restraint will be used, appropriate factors are taken into consideration by suitably skilled staff, however restraint risks and monitoring timeframes are not consistently identified in the restraint assessment records. This is a requirement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Protocols on safe use of restraint detail the processes of assessment, approval and implementation. These protocols guide staff in the safe use of restraint. Strategies are implemented prior to the use of restraint to prevent the resident from incurring injury, for example: the use of low beds and sensor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that guide staff in the safe use of restraint include approved forms of restraint; restraint indications; associated risks; safety precautions; authorisation; reporting and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Induction and orientation as well as training and education include restraint processes. Evidence of ongoing education regarding restraint and challenging behaviours was evident. Restraint competency testing of staff is included in their education process. Staff monitoring restraint are overseen by registered nurses and the clinical manager (CM).</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up to date and records necessary information to provide an auditable trail of restraints. Health care assistants are responsible for monitoring and recording restraint monitoring processes when restraints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restraint occurs through measuring relevant clinical key performance indicators. Each individual episode of restraint is evaluated. The clinical files of residents using restraint evidenced the restraint evaluation forms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team meeting minutes evidenced evaluation of each restraint used in the facility. Residents and the family are involved in the evaluation of the effectiveness and needs for continuing restraint. Progress notes verified restraint related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monthly monitoring and annual quality reviews are conducted relating to the use of restraint/enablers. Restraint committee meetings are held monthly. Senior staff and registered nurses attend. The restraint coordinator reports to management and to the support office on a monthly basis. Quality review findings and any recommendations are used to improve service provision and resident safety. The restraint minimisation policies are current and are available to guide staff.</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education is provided for all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168"/>
        <w:gridCol w:w="1280"/>
        <w:gridCol w:w="3536"/>
        <w:gridCol w:w="1495"/>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understand the processes for reporting incidents, accidents and near misses, however the incident and accident records reviewed showed designations of staff are not consistently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twelve of twelve incident reports reviewed did not have staff designation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residents’ files reviewed evidence staff designation was not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to consistently record their designations in all written documents.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completed within 24 hours of admission. Resident long-term care plans are completed within the required six month timeframe. InterRAI assessments are required to be completed within three weeks of admission and as of January 2017 all historical interRAI assessments are required to be completed. Two of fifteen resident files reviewed for interRAI assessments (the initial sample of ten was increased by five), did not provide evidence of interRAI assessment being completed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had current interRAI 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to have interRAI assessments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long term care plans evidenced changes when residents’ condition change, interRAI re-assessments are not completed when the residents’ conditions changes. The organisation also requires their staff to compete additional risks assessments when the residents’ condition changes. These additional risk assessments were also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who experience changes to their condition have risks assessments, including review of their interRAI assessments,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who experience changes to their condition are to have risks assessments, including review of their interRAI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two restraints and two enablers being used during the on-site audit. Two restraints and one of the enablers were reviewed as part of the sample size. Both the restraints and the enabler reviewed during this on-site audit did not include risk identification of risks during the assessment processes. One of the monitoring timeframes for restraint was not identified during the assessment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restraint risks and the risks relating to the enabler use, were not identified during assessment. One of the two restraint assessment records also did not include the monitoring timeframes for this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restraint and enabler assessments are to identify related risks and monitoring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Trevellyn Rest Home &amp; Hospital</w:t>
    </w:r>
    <w:bookmarkEnd w:id="58"/>
    <w:r>
      <w:rPr>
        <w:rFonts w:cs="Arial"/>
        <w:sz w:val="16"/>
        <w:szCs w:val="20"/>
      </w:rPr>
      <w:tab/>
      <w:t xml:space="preserve">Date of Audit: </w:t>
    </w:r>
    <w:bookmarkStart w:id="59" w:name="AuditStartDate1"/>
    <w:r>
      <w:rPr>
        <w:rFonts w:cs="Arial"/>
        <w:sz w:val="16"/>
        <w:szCs w:val="20"/>
      </w:rPr>
      <w:t>27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