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Cantabria Home and Hospital Limited - Cantabria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Cantabria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Cantabria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June 2017</w:t>
      </w:r>
      <w:bookmarkEnd w:id="7"/>
      <w:r w:rsidRPr="009418D4">
        <w:rPr>
          <w:rFonts w:cs="Arial"/>
        </w:rPr>
        <w:tab/>
        <w:t xml:space="preserve">End date: </w:t>
      </w:r>
      <w:bookmarkStart w:id="8" w:name="AuditEndDate"/>
      <w:r w:rsidR="00A4268A">
        <w:rPr>
          <w:rFonts w:cs="Arial"/>
        </w:rPr>
        <w:t>8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wing which is located on the top floor of the main building is no longer being included in this audit. The 22 rooms are used for boarders only and not subject to this audit review. Management have notified the Ministry of Health of this change to bed numbers prior to the audit occurring.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Cantabria Home and Hospital provides rest home and hospital level care for up to 236 residents. The service is operated by private ownership and is one of three facilities owned by the Cantabria Group. Cantabria Home and Hospital is managed by an experienced nurse manager who is one of a team of eight managers on site. Since the previous audit an upstairs wing of 22 beds is no longer used for residents.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contracts with the district health board and Ministry of Health. The audit process included review of policies and procedures, review of residents’ and staff files, observations and interviews with residents, family members, management, staff, contracted allied health providers and two general practitioners.  </w:t>
      </w:r>
    </w:p>
    <w:p w:rsidRPr="00A4268A">
      <w:pPr>
        <w:spacing w:before="240" w:line="276" w:lineRule="auto"/>
        <w:rPr>
          <w:rFonts w:eastAsia="Calibri"/>
        </w:rPr>
      </w:pPr>
      <w:r w:rsidRPr="00A4268A">
        <w:rPr>
          <w:rFonts w:eastAsia="Calibri"/>
        </w:rPr>
        <w:t>The provider can demonstrate how they meet the requirements of hospital-medical services.</w:t>
      </w:r>
    </w:p>
    <w:p w:rsidRPr="00A4268A">
      <w:pPr>
        <w:spacing w:before="240" w:line="276" w:lineRule="auto"/>
        <w:rPr>
          <w:rFonts w:eastAsia="Calibri"/>
        </w:rPr>
      </w:pPr>
      <w:r w:rsidRPr="00A4268A">
        <w:rPr>
          <w:rFonts w:eastAsia="Calibri"/>
        </w:rPr>
        <w:t xml:space="preserve">This audit has resulted in a continuous improvement in quality improvement and staff education. There were no identified areas of improvements.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Care is guided by a Maori Health Plan and related policies. 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formal interpreting services if required.</w:t>
      </w:r>
    </w:p>
    <w:p w:rsidRPr="00A4268A">
      <w:pPr>
        <w:spacing w:before="240" w:line="276" w:lineRule="auto"/>
        <w:rPr>
          <w:rFonts w:eastAsia="Calibri"/>
        </w:rPr>
      </w:pPr>
      <w:r w:rsidRPr="00A4268A">
        <w:rPr>
          <w:rFonts w:eastAsia="Calibri"/>
        </w:rPr>
        <w:t xml:space="preserve">The service has linkages with a range of specialist health care providers, which contributes to ensuring services provided to residents are of an appropriate standard.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All processes reviewed demonstrate that the provider meet the requirements to offer hospital-medical care.</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hard copy record.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general practitioner and nurse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Five enablers and eight restraints are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prevention and control coordinator, aims to prevent and manage infections. There are terms of reference for the infection prevention control committee which meets three monthly. Specialist infection prevention and control advice is able to be accessed from the district health board, GP, microbiologist; and/or an infectious disease physician.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 xml:space="preserve">Aged care specific infection surveillance is undertaken, analysed, trended, benchmarked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8"/>
        <w:gridCol w:w="1280"/>
        <w:gridCol w:w="99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Cantabria Home and Hospital has policies and procedures that cover residents’ rights.  The Code of Health and Disability Services Consumers’ Rights (the Code) information is displayed throughout the facility and information brochures are included in resident admission information packs.  Staff were observed demonstrating respectful communication, encouraging independence, providing activity options to residents and maintaining dignity and privacy. Training on the Code is included as part of the orientation process for all new staff employed and in ongoing training, as was verified in the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and procedures provide relevant guidance to staff. Clinical files reviewed show that informed consent has been gained appropriately using the organisation’s standard consent form including photographs, outings and sharing of resident information. Additional consent forms were sighted in residents’ files, for example, for the annual influenza vaccination and other procedures as applicable.</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where relevant in the resident`s record as relevant.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residents move into the facility, they and their families are provided with a copy of the Code which also includes information on the Advocacy Service. Posters related to the Advocacy Service were also displayed in the facility, and additional brochures were available. Residents and family members interviewed were aware of the Advocacy Service, how to access this and the right to have support with this process.  Some residents had family who would advocate for them where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are aware of how to access the Advocacy Service and where to locate the contact details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were able to freely invite family and friends into the facility to visit them at any time or by arrangement with the nurse manager.  Families spoke of being able to come and go as they wished and that they were able to talk to staff if they needed too.  Some residents use public transport to get to community activities, such as day services, churches or craft groups.  Others are assisted in facility vehicles to get appointments and activities in the community. A designated driver is available to provide this aspect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28 complaints/concerns have been received over the past year and that actions taken, through to an agreed resolution, were documented and completed within the timeframes.  Action plans showed any required follow up and improvements have been made where required. The project support advisor and nurse manager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has occurred resulting in the updating of complaints forms to make them more user friendly and associated documents have been reworded into simple language to ensure it is easier for family and residents to understand each stage of the process and the written response they receive. All new documents have been approved by the quality group.  Feedback related to the newly updated documents is yet to be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aware of the Code and the Nationwide Health and Disability Advocacy service (Advocacy Service).  They received information about the Advocacy Service when they first entered the service as part of the admission process and were able to talk to staff about the service if required.  The Code is displayed in English and Maori throughout the facility, together with information on advocacy services and how to make a complaint. Residents’ rights and responsibilities are outlined in the admission agreement they or their family/whanau sign when entering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support is provided in a manner that has regard for their dignity, privacy, spirituality, sexuality and intimacy.  Residents` choices are respected and actioned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maintaining residents’ privacy during the audit, including when attending to personal cares and having private conversations.   Residents` personal information is held securely and privately, throughout the facility in each service area.  All residents have a private room, except for one couple who share a room.  Some rooms have ensuites and some have shared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staff who follow clearly documented nursing care plans that state what the resident can and cannot do themselves.  Staff assist residents to participate in activities provided within the facility, to attend community activities, to arrange appointments with a visiting physiotherapist and to engage in activities with their family/whanau.  Residents confirmed that they were encouraged by staff to do as much for themselves as they could and that assistance was always available for things they found difficult.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showed that intimacy and sexuality issues are managed in a manner that ensures the rights of the individual are protected, and intervention only occurs to ensure a balance between the personal rights of the individual and others living and working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and whanau as appropriate.  Guidance on tikanga best practice is available and is supported by staff who identify as Māori in the facility.  Māori residents and their whānau interviewed reported that staff acknowledged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Upon entry to the facility, each resident has their religious and value beliefs identified in conjunction with the family/whanau, if appropriate, and recorded in their nursing care plan.  Any links with representative or special interest groups that the resident wishes to maintain or develop are also recorded and their needs are accommodated.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assisting residents to meet their value belief needs in a non-judgmental and non-discriminatory manner.  Residents are encouraged to feedback any issues or concerns at resident meetings and through the complaints / compliments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they were consulted about any cultural practices, values and beliefs they held and that their personal preferences were accommodated when and wherever possible.  Residents’ nursing care plans had a specific section relating to cultural and spiritual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felt safe in their environment and knew who to go to if they ever felt unsafe.  One resident who attends a day service for young disabled people was being supported by staff at the service and facility to deal with a personal issue. A general practitioner also expressed satisfaction with the standard of services provided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The registered nurses have records of completion of the required training on professional boundaries. Staff are provided with a Code of Conduct in both the staff orientation package and the individual employment contract. Ongoing education is also provided on an annual basis, which was confirmed in the staff training records. Staff are guided by policies and procedures and, when interviewed, demonstrated a clear understanding of what constitutes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statement confirms its commitment to achieve a working environment based on trust, respect, co-operation and teamwork to encourage innovation, efficiency and productivity to create a safe, satisfying and rewarding environment for employees.  Family members interviewed thought that the staff provided a very good standard of care to their family members.</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best practice through evidence based policies, input from external specialist services and allied health professionals, for example hospice, diabetes nurse specialist, physiotherapist, wound care nurse specialist, DHB dietitians, services for older persons, psycho-geriatrician and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access their own professional networks, such as gerontology study days / seminars to support contemporary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health status and general wellbeing.  Families were also advised in a timely manner about any incidents or accidents and outcomes of regular and any urgent medical reviews, sighted in residents’ records reviewed.  There was also evidence of resident/family/whanau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was facilitated as and when required.  Some residents have communication difficulties and staff take time to ensure that in these situations, residents are able to articulate themselves and that staff have understood.  Conversations between staff and residents were heard during the audit and indicated that effective communication was taking place.  One staff member is able to speak Mandarin and Cantonese and is able to assist with interpreting for one Chinese resident.  Communication cards are available for residents for whom English is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reports to the board of directors (including the owner) showed adequate information to monitor performance is reported including quality data, complaints, monthly occupancy, serious harm, incidents and accidents, staffing hours,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nurse manager who holds relevant qualifications including a current annual nursing registration. They have been in the current role for two years. Prior to this role the nurse manager worked for the Cantabria Group at a sister facility as nurse manager for seven years. Responsibilities and accountabilities are defined in a job description and individual employment agreement.  The nurse manager confirmed knowledge of the sector, regulatory and reporting requirements and maintains currency through attendance at quality seminars, related age care education and training sessions, clinical in-service education and district health board meetings. The nurse manager is supported by a team of managers who also ensure appropriate education and knowledge is maintained for the roles they undertake. The management team are supported by clinical team leaders and non-clinical supervisors for all departments.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Lakes District Health Board (LDHB) and the Ministry of Health (MOH).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- 130 residents were receiving services under the Age Related Residential Care contract (91 hospital and 40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-10 residents None Aged contract with MOH (seven hospital and three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four Long Term Chronic contract (one hospital and three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four Respite Care (two rest home and two hospital level) 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ten Secure Dementia care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transitional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following items are met by Cantabria Home and Hospital and demonstrate the services ability to offer hospital-medical services. The provider has policies and procedures aligned with current good practice, human resource processes enable appropriate service provider appointment, the skills mix of staff is aligned with resident needs, staff training is undertaken to a very high standard and along with service delivery other health care provider requests and input are identified. Policy and procedures related to medication management are fully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the senior registered nurses, project support advisor and heads of departments all carry out the required duties under delegated authority. The nurse managers from two sister sites are also available as required. Cantabria Home and Hospital demonstrated progression planning for staff to undertake a variety of roles. During absences of key clinical staff, the clinical management is overseen by other senior clinical registered nurses who are experienced in the sector and able to take responsibility for any clinical issues that may arise. Staff reported the current arrangements work well. The owner is always available by phone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falls and falls prevention activities, skin tears, wounds including pressure injuries, and staff education attendance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 quality meetings and staff meetings including allied health. Staff reported their involvement in quality and risk management activities through audit activities, being on special project teams, such as the falls prevention advisory team and undertaking corrective action follow up as required. Relevant corrective actions are developed and implemented to address any shortfalls. This is identified for all areas, both clinical and non-clinical. Examples included the rehousing and updating of emergency and civil defence equipment, appropriate follow up for all incidents and accidents and as part of the response to complaints management, and comments made in the resident and family satisfaction surveys. The service can demonstrate that they use the findings of all quality data to improve services. Quality improvements undertaken are clearly documented to show actions taken, timeframes are met and that outcomes are evaluated. This is performed to a very high standard and has gained a continuous improvement attainment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showed all follow up was undertaken to improve identified areas of concern. (Refer to comments in 1.2.3.6). Residents and family interviewed confirmed any concerns they have are dealt with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health and safety officer (RN) described the processes for the identification, monitoring, review and reporting of risks and development of mitigation strategies. All members of the senior management team interviewed were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corrective actions are developed and actions followed-up in a timely manner.  Adverse event data is collated, analysed and reported to senior management, the quality group, owner and the board. If there is an increase or trend noted this is discussed in detail at all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have been six notifications of significant events made to the Ministry of Health, since the previous audit. (One fracture, one missing resident, one medication error which was a significant adverse event, and three pressure injuries).  An infection outbreak was notified to public health in October 2016. There have been no police investigations, coroner’s inquests or issues based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 service has undertaken a review of all current staff files and a quality improvement has occurred to ensure the information is consistently located in the correct part of each file.</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a six week period.  If any deficits in staff knowledge is identified, additional education is put in place. All staff annual performance appraisals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This is an area that the service has undertaken a major quality improvement and gained a continued improvement rating.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21 registered nurses have completed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and resident satisfaction results supported this. Observations and review of six weeks of rosters confirmed adequate staff cover has been provided, with staff replaced in any unplanned absence.  All registered staff and activities staff hold current first aid certificates and there is 24 hour/seven days a week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appropriately trained staff who work in the secure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individual records sampled for review from all areas of service delivery. Clinical notes were current and integrated with general practitioner and allied health service provider records. Records were legible with the name and designation of the person making the entry identifiable. Stamps were used as applicable, dated and signed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Residents’ records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admission to Lakes District Health Board template which is supported by a facility transfer letter and associated documents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An example reviewed of a patient recently transferred to the local acute hospital showed communication with the hospital, NASC team and family/whanau.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(paper 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Bulk Supply medications are used, are current and usage complies with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Food temperatures, including for high risk items, are monitored appropriately and recorded as part of the plan. The kitchen supervisor has undertaken a safe food handling qualification, with kitchen assistants completing relevant food handling training with updated training due in July 2017.</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and resident meeting minutes. Residents were seen to be given sufficient time to eat their meal in an unhurried fashion and those requiring assistance had this provided.   The 2016 satisfaction survey showed that 75% of residents were happy with the general quality of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pressure injury risk,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one of 21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two GPs interviewed, verified that medical input is sought in a timely manner, that medical orders are followed, and care is of a very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and five activity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interesting and interactive and are encouraged to participate.  The 2016 relative satisfaction survey found that 68% of residents were happy with the range and variety of recreation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such as music and one to one interaction.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regular GPs who visit, residents may choose to use another medical practitioner. If the need for other non-urgent services are indicated or requested, the GP or RN sends a referral to seek specialist input.  Copies of referrals were sighted in residents’ files, including to the dietitian, gerontology and mental health services for the older adult.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who deal with chemicals have specific education undertaken related to the safe handling of chemicals. The external company which is contracted to supply and manage all chemicals and cleaning products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(Refer comments in criterion 1.2.3.6 related to ground staff access to PPE being made easier as a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oversee audits for waste management and corrective actions are put in place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12 October 2017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This includes secure outdoor areas for residents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111 bedrooms with full ensuite facilities, one bedroom with toilet ensuite only, and 24 bedrooms which have a full ensuite shared between two rooms. Appropriately secured and approved handrails are provided in the toilet/shower areas, and other equipment/accessories are available to promote resident independence.  The bathrooms in older areas of the facility have been upgraded since the previous audit. This is an ongoing refurbishment as shown in the business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dementia care bedrooms have full ensuite facilities and eight have shared bathroom facilities. These are included in the number shown above.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but one bedroom which is shared by a husband and wife by choice, are single occupancy. Where rooms are shared approval has been sought.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Residents can access areas for privacy, if required.  Furniture is appropriate to the setting and residents’ needs. Each wing has a lounge and dining area with a satellite kitchen for tea and coffee making. </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combined lounge and dining area in the secure dementia unit with a satellite kitchen. Activities occur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area which is well equipped. Family members who request to do personal laundry may do so. Dedicated laundry staff demonstrated a sound knowledge of the laundry processes, dirty/clean flow and handling of soiled linen. Residents interviewed reported the laundry is managed well and the return of their clothing has improved over the year. (Refer comment in criterion 1.2.3.6 regarding a quality improvement made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cleaning team who have received appropriate training in safe chemical handling along with all compulsory education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visual checks of completed laundry and daily cleaning process, and chemical titrates and usage monitored by the chemical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11 October 1995. It has been requested by the New Zealand Fire Service during a trial evacuation that the evacuation scheme should be updated. All paperwork sighted has been sent from Cantabria Home and Hospital and they are awaiting approval. A trial evacuation takes place six-monthly with a copy sent to the New Zealand Fire Service, the most recent being on 30 March 2017. Two issue which arose related to the repainting of fire hydrants and the rezoning of the fire panel in one building (hospital) have been completed. Specific training and competencies are undertaken by all nominated floor wardens.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have been rehoused in a secure outdoor building (refer comment in criterion 1.2.3.6) and are checked by the health and safety officer monthly. There are adequate supplies of food, water, blankets, mobile phones, torches, batteries and gas BBQ’s were sighted and meet the requirements for the 236 residents when the facility is at full occupancy. Water storage tanks with filtration units are located around the complex, and there are two petrol generators on site. Emergency lighting is regularly tested. The emergency plans are reviewed annually (last done in November 2016) to ensure all instructions are in line with DHB stakeholder requirements. The nurse manager or nominated representative attends emergency management meeting with the DHB stakeholders; last meeting minutes sighted dated 28 September 2016. There is a defibrillator on site and all registered nurses have been trained in the correct use of this.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 Slow response times to call bells were noted as an issue in the 2016 resident satisfaction survey and corrective actions included ongoing staff education and information of actions taken were included in the newsletter sent to all residents and family. Call bells were answered promptly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a security company checks the premises at night. There are CCTV cameras throughout all common areas and these are monitored by the nurse manager and administrator.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rooms, excluding the secure dementia care unit, have doors that open onto outside garden areas. Heating is provided by thermal bore water heated radiators in residents’ rooms which can be individually thermostat controlled. Communal areas have heat pumps and radiators.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ensures an environment that minimises the risk of infection to residents, staff and visitors by the implementation of an appropriate infection prevention and control (IPC) programme. The programme is signed off annually by management. Infection control management is guided by a comprehensive and current infection control manual, developed at organisational level, with input from the quality manager, infection control coordinator, the DHB infection control nurse specialists, the general practitioners` and others as required. Additional resource material and guidelines are also available to guide staff for the care of residents with a potential communicable disease.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prevention control coordinator, whose role and responsibilities are defined in job description. Infection prevention matters, including surveillance results, are reported monthly to the nurse manager, and tabled at the quality/risk committee meeting. A flow chart is evident which identifies reporting and accountability leading to the senior management. The infection control coordinator is also the health and safety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is available in all areas of the facility and handwashing signage was clearly evident in all service areas. The infection prevention and control manual provides guidance for staff about how long they must stay away from work if they have been unwell. Staff interviewed understood these related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has appropriate skills, knowledge and qualifications for the role, and has been in this role for four years. The infection prevention and control coordinator has undertaken extensive training, updates and infection prevention and control study relevant for this role as verified in training records sighted. The infection prevention and control committee ensures that appropriate information resources are available to staff and that staff are educated in infection control principles and that the infection control programme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Well-established local networks with the infection control team at the DHB are available and expert advice from the community laboratory is available if additional support/information is required. The infection prevention and control nurse is a member of an infection prevention and control college.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control coordinator confirmed the availability of resources to support the programme and any outbreak of an infection. There was an infection outbreak in October 2016, which was managed efficiently and effectively and all reporting obligations and action was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reflect the requirements of the infection prevention and control standard and current accepted good practice. Policies were last reviewed in 2016 and included appropriate referencing. 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prevention and control coordinator. Content of the training is documented and evaluated to ensure it is relevant, current and understood. A record of attendance is maintained. When an infection outbreak or an increase in infection incidence occurred, there was evidence that additional staff education has been provided in response. An example of this occurred in October 2016 and staff in all services managed the situation and the outbreak was minimised with timely action and staff awareness of the situation at hand. The infection prevention and control coordinator and staff were commended by the Public Health Service for the reporting, containment and management of the outbreak.</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 intake in the warmer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scabies and other infections as they arise. When an infection is identified, a record of this is documented on the infection reporting form. The infection prevention and control coordinator reviews all reported infections. Monthly surveillance data is collated and analysed to identify any trends, possible causative factors and required actions. All data is discussed at the health and safety meetings held three monthly. Results of the surveillance programme are shared with staff via regular staff meetings and at staff handovers. This was verified in the meeting minutes and with staff interviewed. Results are displayed on the staff notice board and staff receive a newsletter. Graphs are produced that identify trends by wing and by service monthly and for the current year, and comparisons by type of infection and volumes against previous years. This is reported to the infection control committee, to the clinical team leaders and nurse manager. Data is benchmarked with two other facilities owned by the service provider. Benchmarking has provided assurance that infection rates in the facility are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an outbreak October 2016 was reviewed and demonstrated a through process for investigation and follow-up. Learnings from the event have been incorporated into practice, with additional staff education implemented through mandatory study days annually for all staff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eight residents were using restraints and five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nurse manager, registered nurse/nurse leader, restraint co-ordinator, and when appropriate the health and safety coordinator, nurse educator and diversional therapist,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RN interviewed/restraint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and regular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  Records evidenced 61.4% of staff in 2016 completed training on restraint with 81.8% completing the written component.  There was further evidence to show an increase in 2017 of staff meeting the requirements of restraint training with 98.4% completing the training and 97.4% completing the theory.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228"/>
        <w:gridCol w:w="38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are communicated to staff, residents and family where appropriate. This was shown in all meeting minutes sighted. Results are also communicated to residents and family in the newsletter sent out by the nurse manager as appropriate. Quality data results are sent to the owner each month and discussed at board level as required. All data collected, including audit results, have completed corrective actions which staff confirmed they have been involved in. When an audit result is below par staff, are informed and the audit is repeated within the month to ensure standards have improved. For example, for the cleaning audits where follow up actions were required, each step was clearly documented and resolution dated and reported to senior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data collected is analysed by the quality group and corrective actions are evaluated by the project support advisor and the nurse manager. All processes are clearly documented. Examples include the results of the resident satisfaction survey which showed that residents’ clothing was going missing, and in 2015 it gained a 45% rating. An investigation was undertaken to find a better way to handle residents’ laundry. Discussions were held with laundry staff and the laundry supervisor agreed to ‘champion clothing labelling’ in order to minimise or prevent residents’ clothing going missing. The solution included the facility purchasing a label making machine and a letter went out to all residents and family stating that the facility was offering to label all resident clothing free of charge. This gained a very positive response from existing residents and their families. The laundry supervisor has taken on the responsibility of visiting all residents on admission to gain permission to label their clothing. The results of these actions were measured by the improvement shown in the 2016 resident satisfaction result which gained an 80% satisfaction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falls prevention project has involved staff from all areas of the facility. Comparative data is documented for 2015 and 2016 which shows that whilst the number of falls has not reduced the falls with serious harm injuries has reduced from 3.75% of residents to 0.81%. This project is ongoing and includes raising staff awareness, early falls risk assessments, minimising the risk environmentally and use of appropriate equipment. An addition to the programme for 2017 includes an increase in the exercise programme hours, staff attendance at the DHB falls prevention tool kit for healthcare providers in February 2017, and an increase in falls prevention and management educational sessions for RNs. Following the diversional therapist and activities coordinators attendance at an educational training day related to residents’ ability with exercises, an exercise group for residents with Parkinson’s has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group identified that civil defence equipment was located in various places, a project was then undertaken to find appropriate centralised storage and to ensure all staff were aware of the change of location and how to access the dedicated building. This was linked to staff education, discussed at staff meetings and specific floor warden education was undertaken. All staff interviewed were aware of where to locate civil defence equipment and the role of the floor wardens.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review process including analysis and reporting of findings, evidence of action taken based on those findings and improvements to service provision and resident safety and satisfaction as a result of the review process. Quality improvement data is evaluated, and where necessary, corrective action planning is clearly documented to show what actions need to be undertaken and by whom to enable this process to occur. All quality improvements are evaluated in a manner that is auditable and shows the success or otherwise of actions taken. Reporting of quality improvements occurs to staff, residents, management and family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plan in place to facilitate and record ongoing education for service providers to provide safe and effective services to residents.  When the 2016 education in-service training session attendance was evaluated it showed that many of the sessions were very poorly attended including the compulsory sessions. A quality improvement plan was developed with input from the quality team which includes the nurse manager. The agreed changes to in-service education presentations were documented and a letter sent to every employee outlining the upcoming changes. The letter reminded staff that as part of their employment contract obligations all compulsory education must be attended. It explained that all staff members training records for the year would become an integral part of the annual performance appraisal. A monthly calendar was produced which is colour coded and anything in ‘pink’ is a compulsory attendance for all staff. Staff members interviewed had a very good understanding of this. The calendar for 2017 had many additional sessions to allow staff to undertake catch up sessions for education they may have missed for some reason such as annual leave or sick leave. A monthly print off is taken from the annual calendar with any changes and/or additions shown; this is sent to every department. </w:t>
            </w:r>
          </w:p>
          <w:p w:rsidR="00EB7645" w:rsidRPr="00BE00C7" w:rsidP="00BE00C7">
            <w:pPr>
              <w:pStyle w:val="OutcomeDescription"/>
              <w:spacing w:before="120" w:after="120"/>
              <w:rPr>
                <w:rFonts w:cs="Arial"/>
                <w:b w:val="0"/>
                <w:lang w:eastAsia="en-NZ"/>
              </w:rPr>
            </w:pPr>
            <w:r w:rsidRPr="00BE00C7">
              <w:rPr>
                <w:rFonts w:cs="Arial"/>
                <w:b w:val="0"/>
                <w:lang w:eastAsia="en-NZ"/>
              </w:rPr>
              <w:t>The education for RNs and enrolled nurses was reviewed and a two day programme was established to cover all required core competencies, such as medication management, pressure injury prevention and management, fire safety and evacuation practices, care planning, continence management, infection control, safe swallowing, enteric feeding, challenging behaviour management, pain management, team leadership, moving and handling, health and safety, civil defence and other emergencies. These training days include outside guest speakers. Staff reported they enjoyed the new format.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staff who had very poor education/training attendance a one on one interview with the nurse education officer occurred and a plan was drawn up to show the attendance required to complete outstanding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training and education session is evaluated by attendees and recommendations are followed up as required. For example, information related to the writing of progress notes was updated, grounds staff requisition forms for personal protective clothing were relocated for ease of completion, sun screen lotion was made available to staff who work outdoors and earthquake scenarios were undertaken twice due to inappropriate initial staff response. One staff member was unsure about who to report inappropriate behaviour too for fear of jeopardising their role, the follow up actions to manage this are well documented. Staff members who needed support with education such a staff member with a hearing disability had a personalised plan put in place to show how specialised assistance would be given. Some staff members undertook a supported literacy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attendance numbers have increased and staff reported that education and training is offered across all work area sectors. The education officer and the human resources department manager monitor staff training and send reminders out to staff who are falling behind. This includes annual interRAI competencies. </w:t>
            </w:r>
          </w:p>
          <w:p w:rsidR="00EB7645" w:rsidRPr="00BE00C7" w:rsidP="00BE00C7">
            <w:pPr>
              <w:pStyle w:val="OutcomeDescription"/>
              <w:spacing w:before="120" w:after="120"/>
              <w:rPr>
                <w:rFonts w:cs="Arial"/>
                <w:b w:val="0"/>
                <w:lang w:eastAsia="en-NZ"/>
              </w:rPr>
            </w:pPr>
            <w:r w:rsidRPr="00BE00C7">
              <w:rPr>
                <w:rFonts w:cs="Arial"/>
                <w:b w:val="0"/>
                <w:lang w:eastAsia="en-NZ"/>
              </w:rPr>
              <w:t>Some of the increased attendance numbers noted between 2016 and 2017 are: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from 35.8 to 95.6%</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from 48.9 to 95.6%</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from 61.4 to100%</w:t>
            </w:r>
          </w:p>
          <w:p w:rsidR="00EB7645" w:rsidRPr="00BE00C7" w:rsidP="00BE00C7">
            <w:pPr>
              <w:pStyle w:val="OutcomeDescription"/>
              <w:spacing w:before="120" w:after="120"/>
              <w:rPr>
                <w:rFonts w:cs="Arial"/>
                <w:b w:val="0"/>
                <w:lang w:eastAsia="en-NZ"/>
              </w:rPr>
            </w:pPr>
            <w:r w:rsidRPr="00BE00C7">
              <w:rPr>
                <w:rFonts w:cs="Arial"/>
                <w:b w:val="0"/>
                <w:lang w:eastAsia="en-NZ"/>
              </w:rPr>
              <w:t>-Code of Rights from 38.3 to 95.7%</w:t>
            </w:r>
          </w:p>
          <w:p w:rsidR="00EB7645" w:rsidRPr="00BE00C7" w:rsidP="00BE00C7">
            <w:pPr>
              <w:pStyle w:val="OutcomeDescription"/>
              <w:spacing w:before="120" w:after="120"/>
              <w:rPr>
                <w:rFonts w:cs="Arial"/>
                <w:b w:val="0"/>
                <w:lang w:eastAsia="en-NZ"/>
              </w:rPr>
            </w:pPr>
            <w:r w:rsidRPr="00BE00C7">
              <w:rPr>
                <w:rFonts w:cs="Arial"/>
                <w:b w:val="0"/>
                <w:lang w:eastAsia="en-NZ"/>
              </w:rPr>
              <w:t>-Cultural Safety, Values and Spirituality from 34.3 to 95.6%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Disaster management and fire safety attendance have increased figures but were not all inclusive at the time of this audit as the sessions have only recently been undertaken and data had yet to be entered with more sessions scheduled for June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a review process including analysis and reporting of findings, evidence of action taken based on those findings as a result of the review process. Education and training in-service numbers have been compared between the whole of 2016 to May 2017 with significant increases. Staff satisfaction and knowledge has increased with the type and level of training offered which allows them to better perform the role they are employed to do and to ensure resident safety. Staff stated their awareness of all core issues has increased.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Cantabria Home and Hospital Limited - Cantabria Home and Hospital</w:t>
    </w:r>
    <w:bookmarkEnd w:id="58"/>
    <w:r>
      <w:rPr>
        <w:rFonts w:cs="Arial"/>
        <w:sz w:val="16"/>
        <w:szCs w:val="20"/>
      </w:rPr>
      <w:tab/>
      <w:t xml:space="preserve">Date of Audit: </w:t>
    </w:r>
    <w:bookmarkStart w:id="59" w:name="AuditStartDate1"/>
    <w:r>
      <w:rPr>
        <w:rFonts w:cs="Arial"/>
        <w:sz w:val="16"/>
        <w:szCs w:val="20"/>
      </w:rPr>
      <w:t>7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