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Kapsan Enterprises Limited - Chadderton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Kapsan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Chadderton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June 2017</w:t>
      </w:r>
      <w:bookmarkEnd w:id="7"/>
      <w:r w:rsidRPr="009418D4">
        <w:rPr>
          <w:rFonts w:cs="Arial"/>
        </w:rPr>
        <w:tab/>
        <w:t xml:space="preserve">End date: </w:t>
      </w:r>
      <w:bookmarkStart w:id="8" w:name="AuditEndDate"/>
      <w:r w:rsidR="00A4268A">
        <w:rPr>
          <w:rFonts w:cs="Arial"/>
        </w:rPr>
        <w:t>13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This unannounced surveillance audit was conducted against the Health and Disability Service Standards and aspects of the service contract with the District Health Board.  Chadderton Rest Home can provide rest home level care for up to twenty-three residents. </w:t>
      </w:r>
    </w:p>
    <w:p w:rsidRPr="00A4268A">
      <w:pPr>
        <w:spacing w:before="240" w:line="276" w:lineRule="auto"/>
        <w:rPr>
          <w:rFonts w:eastAsia="Calibri"/>
        </w:rPr>
      </w:pPr>
      <w:r w:rsidRPr="00A4268A">
        <w:rPr>
          <w:rFonts w:eastAsia="Calibri"/>
        </w:rPr>
        <w:t>The audit process included the review of relevant policies, procedures; residents and staff files; observations and interviews with residents, management and staff.</w:t>
      </w:r>
    </w:p>
    <w:p w:rsidRPr="00A4268A">
      <w:pPr>
        <w:spacing w:before="240" w:line="276" w:lineRule="auto"/>
        <w:rPr>
          <w:rFonts w:eastAsia="Calibri"/>
        </w:rPr>
      </w:pPr>
      <w:r w:rsidRPr="00A4268A">
        <w:rPr>
          <w:rFonts w:eastAsia="Calibri"/>
        </w:rPr>
        <w:t xml:space="preserve">The managing director and clinical manager are responsible for the overall and clinical management of the facility. </w:t>
      </w:r>
    </w:p>
    <w:p w:rsidRPr="00A4268A">
      <w:pPr>
        <w:spacing w:before="240" w:line="276" w:lineRule="auto"/>
        <w:rPr>
          <w:rFonts w:eastAsia="Calibri"/>
        </w:rPr>
      </w:pPr>
      <w:r w:rsidRPr="00A4268A">
        <w:rPr>
          <w:rFonts w:eastAsia="Calibri"/>
        </w:rPr>
        <w:t xml:space="preserve">Improvements identified at the previous audit have been addressed. Improvements are required to the following: documentation of assessments, care plans and review of care plans; documentation in the resident records by a registered nurse; minor repairs to a sink and the odour in one bedroom.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interviewed are able to demonstrate an understanding of residents' rights and obligations including the complaints process. Information regarding the complaints process is available to residents and their family and complaints reviewed are investigated with documentation completed and stored in the complaints folder.  Staff communicate with residents and family members following any incident with this recorded in the resident file. Residents state that the environment is conducive to communication including identification of any issues.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organisation's mission statement and vision is documented. There is a current business, quality and risk management plan. Quality and risk management systems support service delivery and include internal audits, complaints management, resident and relative satisfaction surveys, and incident/accident management.  Quality and risk management activities and results are shared among staff, residents and family. </w:t>
      </w:r>
    </w:p>
    <w:p w:rsidRPr="00A4268A">
      <w:pPr>
        <w:spacing w:before="240" w:line="276" w:lineRule="auto"/>
        <w:rPr>
          <w:rFonts w:eastAsia="Calibri"/>
        </w:rPr>
      </w:pPr>
      <w:r w:rsidRPr="00A4268A">
        <w:rPr>
          <w:rFonts w:eastAsia="Calibri"/>
        </w:rPr>
        <w:t xml:space="preserve">Human resource policies include recruitment information, selection, orientation, staff training and development. Staffing levels meet occupancy and acuity levels and residents state that they have adequate access to staff when needed.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evidence that each stage of service provision is developed with resident and/or family input and coordinated to promote continuity of service delivery.  Resident files sampled indicate that the resident is reviewed by the general practitioner monthly to three-monthly as required. </w:t>
      </w:r>
    </w:p>
    <w:p w:rsidRPr="00A4268A" w:rsidP="00621629">
      <w:pPr>
        <w:spacing w:before="240" w:line="276" w:lineRule="auto"/>
        <w:rPr>
          <w:rFonts w:eastAsia="Calibri"/>
        </w:rPr>
      </w:pPr>
      <w:r w:rsidRPr="00A4268A">
        <w:rPr>
          <w:rFonts w:eastAsia="Calibri"/>
        </w:rPr>
        <w:t xml:space="preserve">Planned activities are appropriate to the group setting. The residents interviewed confirm satisfaction with the activities programme. </w:t>
      </w:r>
    </w:p>
    <w:p w:rsidRPr="00A4268A" w:rsidP="00621629">
      <w:pPr>
        <w:spacing w:before="240" w:line="276" w:lineRule="auto"/>
        <w:rPr>
          <w:rFonts w:eastAsia="Calibri"/>
        </w:rPr>
      </w:pPr>
      <w:r w:rsidRPr="00A4268A">
        <w:rPr>
          <w:rFonts w:eastAsia="Calibri"/>
        </w:rPr>
        <w:t>There is a medicine management system in place with regular and as required medication administered as prescribed.</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are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in place.  A preventative and reactive maintenance programme includes electrical checks and calibration of equipment. There have been no changes to the facility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policy and procedures and the definitions of restraint and enabler are congruent with the restraint minimisation and safe practice standard. There are no restraints or enablers in use in the facility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are adequately documented.  There is a designated infection control co-ordinator (clinical manager) who is responsible for ensuring monthly surveillance is completed.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7"/>
        <w:gridCol w:w="1280"/>
        <w:gridCol w:w="101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identify that the organisation is committed to an effective and impartial complaints system. Procedures are in place to show how they support a culture of openness and willingness to learn from incidents and complaints. Complaints management is explained as part of the admission process and is part of the staff orientation programme and ongoing education. Residents and family confirm that management has an open door policy which makes it easy to discuss concerns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records the complaint, dates and actions taken. There are no outstanding complaints at the time of the audit and there have been no complaints to external authorities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two complaints confirms that the processes implemented meet the policy and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and the resident of any accident/incident that occurs.  These procedures guide staff on the process to ensure full and frank open disclosure was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is recorded in residents’ files and this confirms that they are notified when there is an incident or accident. The communications record includes any visit or phone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from the district health board.  There are no residents requiring interpreting services at the time of the audit. One resident who has English as a second language has staff who interpret and talk with them. They also have family who visit daily.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is available in large print and this could be read to residents. Residents sign an admission agreement on entry to the service. This provides clear information around what is paid for by the service and by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owners who live close to the facility. One is the managing director who provides operational management and the other is the clinical manager (registered nurse). The owners have owned the facility since 2004. Either the managing director or the clinical manager is on site during the weekdays and weekends. The clinical manager has taken over the registered nurse responsibilities in the absence of the other registered nurse who resigned recently.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at least eight hours training relevant to the role, annually and has trained in interRAI. They also work two days a week in a private surgical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philosophy documented and residents and family are informed of the philosophy on entry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23 residents requiring rest home level of care. There were 17 residents in the service at the time of the audit, all confirmed by the clinical manager as requiring rest home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Chadderton Rest Home has a quality and risk management framework that is documented to guide practice.  There is a three-year business, quality and risk management plan that is reviewed annually and updated as changes occur. The managing director and clinical manager had previously delegated most internal audits to be completed by the registered nurse who documented action plans when issues were identified.  The internal audits are now being completed by the managing director in the absence of another registered nurse. Service delivery is monitored through a review of resident file audits, complaints, incidents and accidents and the monthly analysis of data including surveillance on infections. The managers are responsive to needs within the organisation and have increased the number of resident file audits to quarterly to ensure that these are updated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staff meetings and monthly managing director meetings held that include review and discussion of all aspects of the quality and risk management programme. There are quarterly to six monthly resident meetings with family able to attend if they choose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as required with all policies having been reviewed as changes in legislation, best and evidence based practice are identified. The policies are developed and reviewed by an external consultant.  Policies are available to staff and staff interviewed state that they read any new or revised policies.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including the caregivers, the diversional therapist and the cook report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comprehensive risk management programme in place that covers the scope of the organisation.  Health and safety policies and procedures are documented.  There is a health and safety audit completed six monthly with evidence that any issues documented on a corrective action plan and signed off as resolved. There is evidence that any hazards identified are signed off as addressed or risks minimised or isolated.  The managing director states that they impress on all staff the importance of identifying any issues as soon as these arise so that they can be fixed immediately. Hazards and management of any risks is an agenda item at each staff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resident/family satisfaction survey and results documented from the 2016 surveys indicate that resident or family are happy with the service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and the clinical manager are aware of situations in which the service would need to report and notify statutory authorities including police attending the facility, unexpected deaths, critical incidents, infectious disease outbreaks.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and are supported through the open disclosure process. This was confirmed in interviews with staff and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on the incident and accident reporting process.  Staff interviewed understood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selected for review have a corresponding note in the progress notes to inform staff of the incident.  There is evidence of open disclosure for each recorded event when the resident has family. Information gathered is regularly shared at the monthly staff meeting. Analysis of incidents and accidents occurs monthly with trends analysed.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holds a current annual practising certificate.  The service also holds copies of annual practicing certificates of visiting health professionals for example the general practitioner, pharmacists and dietician. </w:t>
            </w:r>
          </w:p>
          <w:p w:rsidR="00EB7645" w:rsidRPr="00BE00C7" w:rsidP="00BE00C7">
            <w:pPr>
              <w:pStyle w:val="OutcomeDescription"/>
              <w:spacing w:before="120" w:after="120"/>
              <w:rPr>
                <w:rFonts w:cs="Arial"/>
                <w:b w:val="0"/>
                <w:lang w:eastAsia="en-NZ"/>
              </w:rPr>
            </w:pPr>
            <w:r w:rsidRPr="00BE00C7">
              <w:rPr>
                <w:rFonts w:cs="Arial"/>
                <w:b w:val="0"/>
                <w:lang w:eastAsia="en-NZ"/>
              </w:rPr>
              <w:t>Staff files sampled included a signed contract that includes privacy and confidentiality.  Staff complete an application form with referee checks completed prior to appointment. There is an annual appraisal process with all staff having a current performance appraisal.  First aid certificates are held in staff files along with other training records. An application form is completed in all files and records of referee checks are kept. The service is now completing criminal vetting for all staff and the previous requirement identified at the certification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undergo a comprehensive orientation programme that meets the educational requirements of the District Health Board Aged Residential Care (ARC) contract. Caregivers are paired with a senior caregiver for shifts until they demonstrate competency. Annual medication competencies are completed for all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plan implemented and attendance records kept for each staff member. Training is provided by external providers including the district health board and staff state that they find the training relevant to their needs with at least eight hours completed per year. Staff also state that they value the training around management of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staffing which is the foundation for work force planning.  Rosters sighted reflect staffing levels that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and the clinical manager are on call. Staff confirmed that the clinical manager is available at any time and they respond immediately if rung.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13 staff including the managing director, clinical manager, diversional therapist, household staff and caregivers. The clinical manager is on site during the week and over weekends. Residents confirm staffing is adequate to meet the residents’ needs and all residents state that there are always sufficient staff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reviewed indicate that staff are replaced when a staff member is on leave. There is always at least one caregiver on duty at all times with a second caregiver on site during the day and afternoon. Staff are also able to be added to the roster in response to higher resident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detailed medication policy documented is reflective of current safe practice guidelines. The policy identifies that staff who administer medicines must be competent. Caregivers and the clinical manager who administer medications have completed medication competencies for 2016-17 year. The caregiver observed administering the lunchtime medication complies with regulation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kept in a locked trolley with some oral medication and creams stored in a locked cupboard. A fridge is used to store medication with temperatures checked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requiring the use of controlled drugs. The clinical manager was able to describe a process for management of controlled drugs that included these being checked weekly by two staff. As required medications are charted with documentation of indications for use and maximum dose per hour.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is self-administrating some medication with a competency completed by the clinical manager confirming that the resident is able to self-administer medication as per the prescription.  The inhaler is kept by the resident in their bedroom drawer. There is a notebook for the resident to record when they have had it and the clinical manager checks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records reviewed evidence photo identification on each resident record sheet with this confirmed as being a true and correct likeness. Any allergies or sensitivities are documented on the medical notes and the resident`s medication record. All medications are prescribed individually and signed and dated by the GP. There is no evidence of any transcribing of instructions. The clinical manager checks the medication packs when received from the pharmacy with documentation of reconciliation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current with expiry dates checked and any expired medication returned to the pharmacy when identified.  The pharmacist completes an audit of the system and of medications every six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uses the summer/winter seasonal menu which has been reviewed by a dietitian in November 2014. There is a plan to review the menu again in 2017. Nutritional guidelines for older people are available and considered when the menu plans are developed. </w:t>
            </w:r>
          </w:p>
          <w:p w:rsidR="00EB7645" w:rsidRPr="00BE00C7" w:rsidP="00BE00C7">
            <w:pPr>
              <w:pStyle w:val="OutcomeDescription"/>
              <w:spacing w:before="120" w:after="120"/>
              <w:rPr>
                <w:rFonts w:cs="Arial"/>
                <w:b w:val="0"/>
                <w:lang w:eastAsia="en-NZ"/>
              </w:rPr>
            </w:pPr>
            <w:r w:rsidRPr="00BE00C7">
              <w:rPr>
                <w:rFonts w:cs="Arial"/>
                <w:b w:val="0"/>
                <w:lang w:eastAsia="en-NZ"/>
              </w:rPr>
              <w:t>An individual dietary assessment (nutritional status) is expected to be completed on admission with review of this occurring six monthly and as changes occur (refer 1.3.3). Morning and afternoon teas are prepared in the kitchen and snacks are available over twenty-four hours. Residents are weighed on admission and evidence is seen of a process to monitor unexplained weight loss. This includes contacting the resident`s GP and notifying the kitchen of extra dietary requirements. The food service is managed by a cook over seven days. Special diets can be arranged, for example puree, fortified fluids, vegetarian diets or gluten free diets.</w:t>
            </w:r>
          </w:p>
          <w:p w:rsidR="00EB7645" w:rsidRPr="00BE00C7" w:rsidP="00BE00C7">
            <w:pPr>
              <w:pStyle w:val="OutcomeDescription"/>
              <w:spacing w:before="120" w:after="120"/>
              <w:rPr>
                <w:rFonts w:cs="Arial"/>
                <w:b w:val="0"/>
                <w:lang w:eastAsia="en-NZ"/>
              </w:rPr>
            </w:pPr>
            <w:r w:rsidRPr="00BE00C7">
              <w:rPr>
                <w:rFonts w:cs="Arial"/>
                <w:b w:val="0"/>
                <w:lang w:eastAsia="en-NZ"/>
              </w:rPr>
              <w:t>Evidence is sighted of meal planning; cleaning routines and audit requirements being completed. All staff have completed relevant food safety training. The cook reports that they are supported by management with the ordering and purchasing of food supplies and they were able to describe individual requirements of the residents. Foods are stored above floor level and the fridges and freezers are monitored on a daily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evidence interventions, desired outcomes and goals of the residents (refer 1.3.3). The GP medical notes include reviews that have occurred three monthly or according to timeframes documented and any treatment required is confirmed by the GP as being carried out by staff in a timely manner. Residents confirm that resident’s current care and treatment meets their needs. There is a relative/friend/healthcare professional communication record kept in the residents’ files. This documents the date, method of communication, details of the communication and any comments or follow up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developed when required. They record the detail of information required. The clinical manager signs these off as completed when the issue is resolved in most cases. Progress against the short-term plan is recorded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daily care monitoring record completed by the caregiver on duty and retained in the resident’s file. The clinical manager or senior caregiver monitors to ensure all cares have been completed in a timely manner. Vital recordings are taken as per resident need and at least monthly. All resident files reviewed confirmed that residents are stable.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(DT) has an allocation of 40 hours in the service per week. The programme is planned with the residents having input through the resident meetings and on a one to one basis. The activities programme is displayed on a weekly/monthly calendar with individual assessments and plans documented by the DT. The DT completes monthly documentation of participation and there is a daily attendance register kept for each resident. Caregivers also support activities according to the activities programme when the DT is not present. Assessments and plans with evidence of review were sighted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are provided and the programme includes intellectual activities, spiritual activities, input from external agencies and supported ordinary unplanned/spontaneous activities including celebrations. The programme is implemented ensuring the strengths, skills and interests of residents are maintained. Residents are encouraged to maintain activities in the community with some residents going to the library, some who walk and others who attend community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report they are happy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Periods in relation to care planning evaluations are documented. Residents confirm their participation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progress records are documented by the senior caregiver on each shift. The clinical manager is required to document at least weekly notes around each resident and increase documentation if issues arise; however weekly documentation has not occurred in 2017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resident’s progress is different from expected, the RN contacts the GP as required. If the resident has family involved, they are notified of any changes in resident's condition with this confirmed by the clinical manager.  The GP confirmed that the clinical manager makes contact whenever there is a change in a resident’s needs with this occurring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health professionals, specialists or multidisciplinary sources, if this is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is evaluated six monthly with the care plan updated in response. A full care plan is re documented every year. The care plan is not always updated as changes in residents needs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at the entrance to the facility (expiry date June 2017).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schedule implemented with the owners completing maintenance as required. There is some particle board around sinks that is exposed. One room has a strong odour and the owners are trying to address this.  </w:t>
            </w:r>
          </w:p>
          <w:p w:rsidR="00EB7645" w:rsidRPr="00BE00C7" w:rsidP="00BE00C7">
            <w:pPr>
              <w:pStyle w:val="OutcomeDescription"/>
              <w:spacing w:before="120" w:after="120"/>
              <w:rPr>
                <w:rFonts w:cs="Arial"/>
                <w:b w:val="0"/>
                <w:lang w:eastAsia="en-NZ"/>
              </w:rPr>
            </w:pPr>
            <w:r w:rsidRPr="00BE00C7">
              <w:rPr>
                <w:rFonts w:cs="Arial"/>
                <w:b w:val="0"/>
                <w:lang w:eastAsia="en-NZ"/>
              </w:rPr>
              <w:t>The areas are suitable for residents with mobility aids.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safety testing occurs every two years and all electrical equipment sighted has an approved testing tag. Medical equipment is calibrated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in good condition, bathroom floors are non-slip, the correct use of mobility aids, and walking areas are not cluttered.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with a veranda to the front and one to the rear, outdoor areas with shade and access to garden areas. Residents confirm that the environment is suitable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confirmed in a letter from the New Zealand Fire Service in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guide staff actions in the event of an emergency. Emergency plans take into account emergency systems such as fire protection equipment, emergency lighting, and communication. An approved provider checks fire equipment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on site. The requirement around water in the event of an emergency identified at the previous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Alternative energy and utility sources are available in the event of the main supplies failing and include emergency lighting and a gas BBQ that can be used for cooking. </w:t>
            </w:r>
          </w:p>
          <w:p w:rsidR="00EB7645" w:rsidRPr="00BE00C7" w:rsidP="00BE00C7">
            <w:pPr>
              <w:pStyle w:val="OutcomeDescription"/>
              <w:spacing w:before="120" w:after="120"/>
              <w:rPr>
                <w:rFonts w:cs="Arial"/>
                <w:b w:val="0"/>
                <w:lang w:eastAsia="en-NZ"/>
              </w:rPr>
            </w:pPr>
            <w:r w:rsidRPr="00BE00C7">
              <w:rPr>
                <w:rFonts w:cs="Arial"/>
                <w:b w:val="0"/>
                <w:lang w:eastAsia="en-NZ"/>
              </w:rPr>
              <w:t>The emergency evacuation plan and principles of evacuation are documented in the fire service approved fire evacuation plan. All resident areas have smoke alarms and a sprinkler system. Emergency education and training for staff includes six monthly trial evacuations and there is always a staff member on duty with a current first aid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systems are in place with staff checking that the premises are secure at night. There are security cameras installed in communal areas and on the grounds for resident safety. Staff and residents confirm they feel safe at all times.  Call bells are located in all resident areas. Residents confirmed call bells are answered within an acceptable timeframe. All residents are mobile and staff state that they seldom ring call bells. Call bells randomly checked on the day of the audit are displayed and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(clinical manager) is responsible for the surveillance programme. Monthly surveillance data relating to number and type of infections is recorded and there is evidence the data being analysed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Standardised definitions are used for the identification and classification of infection events, indicators or outcomes. Infection logs are maintained for infection events with these retained in individual resident files. Staff report they are made aware of any infections of individual residents by way of feedback from the clinical manager, through verbal and written handovers and through documentation in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restraint minimisation and use of enablers are documented and there are links with the policy for managing challenging behaviour.  These are accessible to guide staff actions related to restraint and enabler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restraint or enablers being in use at this facility. All monthly staff meetings for 2017 remind staff there is to be no use of restraint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commitment to a ‘non-restraint’ policy, philosophy and appropriate use of enablers/restraint. Enablers are only used for safety reasons. Staff interviewed understood that the use of enablers is to be a voluntary and the least restrictive means to meet the needs of residents with the intention and/or maintaining of a resident’s independence. Training records evidence training occurs at orientation and is ongoing. The clinical manager is the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gate at the front entrance that can only be opened through a key pad. The number of the key pad is on the gate and residents interviewed confirmed that they can freely go out of the gate.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78"/>
        <w:gridCol w:w="1280"/>
        <w:gridCol w:w="7752"/>
        <w:gridCol w:w="1225"/>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is completing specialised assessments including a falls assessment; pressure area assessment; continence and dietary assessments. These are all reviewed at least six monthly and as changes occur apart from the dietary assessment which at times is not reviewed in a timely manner along with the review of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has training to complete interRAI assessments. InterRAI assessments are not yet being completed for new resident’s or all others in a timely manner. The interRAI assessment and activities review does not occur at the same time as the review of the long-term care plan in all instances and a new plan is not re-written every six months. The clinical manager states that the second registered nurse has recently resigned and as a result, the timeframes for completing assessments have been delayed with the review of the activities plan not necessarily occurring at the same time as the interRAI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resident records reviewed include an initial assessment completed in timeframes as per contractual specifications and two records included an initial plan completed in a timely manner. Initial long-term care plans were not always completed within the first three weeks of the resident being admitted to the service. These include the last two residents admitted to the service (both admitted within the last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summary, timeframes are not met as follows: three resident records do not include an initial assessment completed in a timely manner and two do not include an initial plan completed in a timely manner; the initial long-term care plans are not always completed within three weeks of the resident being admitted; iInterRAI assessments are not always completed for new resident’s or for others in a timely manner; dietary assessments are not always reviewed in a timely manner and the interRAI assessment and activities review do not always occur at the same time as the review of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timeframes for service delivery have been met.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timeframes for service provision are met.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documented for short term issues. These are not always signed off as resolved. The GP interviewed stated that the clinical manager and staff follow up on treatment plans and confirmed that short term issues are resolved.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short-term needs are signed off as resolved.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evidence of resolution of issues for short term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expectation that a registered nurse records information on each resident record at least every 24 to 48 hours with the frequency increasing if resident issues are identified. The progress notes are reviewed by a registered nurse on an ad hoc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is not always updated as changes occur.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are not always updated on a regular basis and as changes occur.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 records are updated on a regular basis and as changes occur.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request that staff inform them immediately issues are identified. There is some ‘bubbled’ and exposed particle board particularly around a sink in a bedroom and a strong odour in some areas with behavioural management plans in place to address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particle board that is not able to be cleaned effectively.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strong odour in some areas of the facility.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t>
              <w:tab/>
              <w:t xml:space="preserve">Repair any particle board that is not able to be cleaned effectively. </w:t>
            </w:r>
          </w:p>
          <w:p w:rsidR="00EB7645" w:rsidRPr="00BE00C7" w:rsidP="00BE00C7">
            <w:pPr>
              <w:pStyle w:val="OutcomeDescription"/>
              <w:spacing w:before="120" w:after="120"/>
              <w:rPr>
                <w:rFonts w:cs="Arial"/>
                <w:b w:val="0"/>
                <w:lang w:eastAsia="en-NZ"/>
              </w:rPr>
            </w:pPr>
            <w:r w:rsidRPr="00BE00C7">
              <w:rPr>
                <w:rFonts w:cs="Arial"/>
                <w:b w:val="0"/>
                <w:lang w:eastAsia="en-NZ"/>
              </w:rPr>
              <w:t>ii)</w:t>
              <w:tab/>
              <w:t xml:space="preserve">Continue to address issues related to the strong odour.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Kapsan Enterprises Limited - Chadderton Rest Home</w:t>
    </w:r>
    <w:bookmarkEnd w:id="58"/>
    <w:r>
      <w:rPr>
        <w:rFonts w:cs="Arial"/>
        <w:sz w:val="16"/>
        <w:szCs w:val="20"/>
      </w:rPr>
      <w:tab/>
      <w:t xml:space="preserve">Date of Audit: </w:t>
    </w:r>
    <w:bookmarkStart w:id="59" w:name="AuditStartDate1"/>
    <w:r>
      <w:rPr>
        <w:rFonts w:cs="Arial"/>
        <w:sz w:val="16"/>
        <w:szCs w:val="20"/>
      </w:rPr>
      <w:t>12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