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Residential Management Limited - Tereance Kennedy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Residential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Terence Kennedy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April 2017</w:t>
      </w:r>
      <w:bookmarkEnd w:id="7"/>
      <w:r w:rsidRPr="009418D4">
        <w:rPr>
          <w:rFonts w:cs="Arial"/>
        </w:rPr>
        <w:tab/>
        <w:t xml:space="preserve">End date: </w:t>
      </w:r>
      <w:bookmarkStart w:id="8" w:name="AuditEndDate"/>
      <w:r w:rsidR="00A4268A">
        <w:rPr>
          <w:rFonts w:cs="Arial"/>
        </w:rPr>
        <w:t>7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41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Terence Kennedy House provides rest home and hospital level care for up to 45 residents.  On the day of the audit there were 41 residents.  The service is managed by an experienced manager.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The service is commended for achieving a continued improvement rating around best practice for the falls reduction project. </w:t>
      </w:r>
    </w:p>
    <w:p w:rsidRPr="00A4268A">
      <w:pPr>
        <w:spacing w:before="240" w:line="276" w:lineRule="auto"/>
        <w:rPr>
          <w:rFonts w:eastAsia="Calibri"/>
        </w:rPr>
      </w:pPr>
      <w:r w:rsidRPr="00A4268A">
        <w:rPr>
          <w:rFonts w:eastAsia="Calibri"/>
        </w:rPr>
        <w:t>This audit has identified the following areas requiring improvement: corrective actions, and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Terence Kennedy House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reviewed demonstrate service integration and are evaluated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the administration of medicines complete education and medication competencies.  Medication charts are reviewed three-monthly by the general practitioner. </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Rooms are individualised.  There are large spacious lounges and dining areas.  There are adequate toilets and showers.  The internal areas are able to be ventilated and heated.  There is sufficient space to allow the movement of residents around the facility using mobility aids.  The outdoor areas are safe and easily accessible.  Cleaning services are monitored through the internal auditing system.  Laundry is completed on-site by dedicated laundry staff.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Terrence Kennedy House has restraint minimisation and safe practice policies and procedures in place.  Staff receive training in restraint minimisation and challenging behaviour management.  On the day of audit, there were two residents with restraint and three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9"/>
        <w:gridCol w:w="1280"/>
        <w:gridCol w:w="88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(five healthcare assistants, two registered nurses (RN), one activities coordinators, one facility manager and one general manager) confirm their familiarity with the Code.  Interviews with nine residents (seven rest home and two hospital) and four families (three rest home and one hospital) confirm the services are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Code of Rights training including advocacy, informed consent, privacy and prevention of elderly abuse, are part of the mandatory training days that staff undertake which are facilitated twice a year to ensure all staff attend.  This was held in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power of attorney signs written consents.  Seven resident files reviewed (four hospital- including one long term chronic care and three rest home -including one respite), demonstrate that advanced directives are signed for.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have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five complaints in 2017 year to date.  The complaint documentation was reviewed for all five complaints.  All had documented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facility manager discusses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can describe how they manage maintaining privacy and respect of personal property.  All residents interviewed stated their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every Sunday.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who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 that they are aware of the need to respond to cultural differences and described how they would document the care plans for the specific cultural requirements of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meeting the cultural needs of its residents.  All residents interviewed report that they are satisfied that their cultural and individual values are being met.  </w:t>
              <w:br/>
              <w:t>Information gathered during assessment including resident’s cultural beliefs and values, is used to develop a care plan, which the resident and/or their family/whānau are asked to consult on.  Staff receive training on cultural awareness (mandatory training day in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 that the staff respect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Health and Disability Services Standards, for residents with aged care needs.  Staffing policies include pre-employment and the requirement to attend orientation and ongoing in-service training.  The resident satisfaction survey was sent out in March 2017 and the 28 completed survey forms returned have not yet been fully analysed.  Overall, the survey forms sighted demonstrate high levels of satisfaction with the services that are provided.  Residents interviewed spoke very positively about the care and support provided.  Staff interviewed have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Eight incidents/accidents forms were reviewed.  The forms included a section to record family notification.  All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Terence Kennedy House is an aged care facility located in West Auckland.  There are 45 dual purpose rest home and hospital level beds.  On the day of the audit there were 41 residents.  There were eight rest home level residents, including one respite resident and thirty-three hospital level residents, including two residents admitted under the long term chronic and one resident admitted under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2017.  A mission, philosophy and objectives are documented for the service.  The manager completes a weekly report for the general manager and then meets at least weekly to review the day to day operations and to review progress towards meeting the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28 years of management experience in the aged care sector.  The manager has been in her role at this facility for six months and is supported by a clinical manager/registered nurse (RN) and thirty-eight staff.  The manager has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manager is in charge with support from the general manager and the other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facility manager, care staff and one cook, one maintenance and one laundry staff member reflected their understanding of the quality and risk management systems that are in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expected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in place including: internal audits; incident and accident reporting; health and safety reporting; infection control data; and complaints management.  Data is being collected monthly but is not consistently communicated to staff.  Corrective actions are not consistently documented, reviewed or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made since the last audit including: updating the phone system; installing a new nurse call system; replacing the vinyl in the main dining room; and implementing a new quality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(a registered nurse) and review of health and safety documentation confirms that legislative requirements are being met.  External contractors have been orientated to the facility’s health and safety programme.  The hazard register is regularly reviewed (last review 14 January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facility manager investigates accidents and near misses and analysis of incident trends occurs.  There is a discussion of incidents/accidents at monthly staff meetings.  A registered nurse conducts clinical follow up of residents.  Eight incident forms sampled from March 2017 did not always demonstrate that appropriate clinical follow up and investigation occurred following incidents (link 1.3.5.2).  Discussions with the facility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A copy of practising certificates is kept.  Seven staff files were reviewed (one clinical manager, one registered nurse, one activities coordinator, one cook, one laundry and two healthcare assistants) and all evidence that reference checks are completed before employment is offered.  The service has a comprehensive orientation programme in place that provides new staff with relevant information for safe work practice.  The in-service education programme for 2016 has been reviewed and a plan for 2017 is being implemented.  The facility manager and registered nurses are able to attend external training, including sessions provided by the local DHB.  Four of the seven registered nurses have completed interRAI training.  Annual staff appraisals are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includes a staffing rationale and skill mix.  Sufficient staff are rostered to manage the care requirements of the residents.  The facility manager is on-site Monday to Friday and is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clinical manager and one registered nurse on a morning shift and one registered nurse on an afternoon and night shift.  There are seven healthcare assistants on a morning shift and five healthcare assistants on an afternoon shift.  There are two healthcare assistants on a night shift.  Extra staff can be called in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per week.  There are separate domestic staff that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confirms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information pack available for residents/families at entry.  The admission agreements reviewed meet the requirements of the Age Related Residential Care Services Agreement.  Exclusions from the service are included in the admission agreement.  Six out of seven admission agreements viewed were signed and dated.  One respite agreement is currently with the family to be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  Respite residents have their discharge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are currently no residents self-medicating.  Medications are checked on arrival and any pharmacy errors are recorded and fed back to the supplying pharmacy.  Registered nurses who have passed their medication competency administer medications.  Medication competencies are updated annually and staff attend annual education.  There are standing orders and these meet legal requirements.  The medication fridge temperature is checked daily.  All medication is stored securely.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administration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Medications are reviewed at least three-monthly by the GP.  All medication charts include a photo ID and allergy status.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Terrence Kennedy House are prepared and cooked on-site.  There is a four-weekly seasonal menu which has been reviewed by a dietitian.  Meals are plated in the kitchen and then served in the two dining rooms.  End cooked meals and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and a healthcare assistant was observed assisting a resident to eat in another.  Residents’ meetings allow for the opportunity for resident feedback on the meals and food services.  Residents are complimentary of the food and confirm that alternative food choices are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kitchen have completed food safety and hygiene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 that all appropriate personal needs information is gathered during admission in consultation with the resident and their relative where appropriate.  Files sampled contain appropriate assessment tools and assessments are reviewed at least six-monthly or when there is a change to a resident’s health condition.  The interRAI assessment tool is implemented.  InterRAI assessments have been completed for all long-term residents.  Care plans sampled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 multidisciplinary involvement in the care of the resident.  All care plans are resident centred; however care plan interventions were not documented for two residents with a history of wandering off site, who were newly admitted residents to the facility.  Residents interviewed stated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and have been evaluated on a regular basis and signed off as resolved or transferred to the long-term care plan as needed.  There is evidence of service integration with documented input from a range of specialist care professionals including the podiatrist, physiotherapist, dietitian and Mental Health Care Team for Older People.  The care staff interviewed advised that the care plans are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Care plans are in place for all residents.  When a resident’s condition changes, the RN will initiate a GP consultation.  Staff state that they notify family members about any changes in their relative’s health status.  Care plans had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available for all wounds.  Wound monitoring occurred as planned.  There is currently one wound (a right lateral leg skin tear category one) and one stage I pressure injury.  There is also a protective dressing on a healed sacral pressure injury.  The facility has access to wound care specialist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who works 25 hours a week.  On the days of audit, residents were observed taking part in exercises and playing ‘toss the frog’.  They have recently been busy with Easter crafts.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large print programme on the noticeboard.  Residents have the choice of a variety of activities in which to participate.  These include exercises, games, crafts, painting, pet therapy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  The activities coordinator may take the residents books, puzzles or crosswords.  A volunteer assists the activities coordinator with one-on-one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fortnightly church services by the Salvation Army and an interdenominational group.  Volunteers from the local Catholic Church come weekly to give communion.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the village van for weekly outings.  Every Thursday a local playgroup visits.  There are also regular entertainers visiting the facility.  Special events such as birthdays, Easter, Mothers’ Day and Anzac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meeting monthly and an annual residents’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identify that the comprehensive individual activity plan is based on this assessment.  Activity plans are evaluated at least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long-term care plans reviewed had been evaluated by the registered nurses six-monthly or when changes to care occurs.  Short-term care plans for short term needs had been evaluated and signed off as resolved or added to the long-term care plan as an ongoing problem.  Activities plans are in place for each resident and these are also evaluated six-monthly.  The multidisciplinary review involves the RN, GP and resident/family if they wish to attend.  There is at least a three-monthly review by the GP for rest home residents and one-monthly for hospital residents.  The family members interviewed confirm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a resident being referred to the Mental Health Team for Older People.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are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are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(30 October 2017).  The person responsible for the village maintenance also oversees the reactive and planned maintenance programme for the care facility.  All medical and electrical equipment has been recently serviced and/or calibrated.  Hot water temperatures are monitored, however not all water temperatures in resident areas are below 45 degrees Celsius.  The facility has endeavoured to rectify the fluctuation of temperatures over many years.  The facility has sufficient space for residents to mobilise using mobility aids.  External areas are well maintained.  Residents have access to safely designed external areas that have shade.  Staff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an ensuite with toilet and shower facilities.  Toilets are located close to dining rooms and lounges for residents use.  A visitor’s toilet is available.  Residents interviewed confirm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large lounge, one large dining area and one smaller lounge/dining area.  There is one large library area.  The lounges and dining rooms are accessible and accommodate the equipment required for the residents.  Activities occur throughout the facility.  Residents are able to move freely and furniture is well arranged to facilitate this.  Residents were observed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at the service.  They have access to a range of chemicals, cleaning equipment and protective clothing.  The standard of cleanliness is monitored through the internal audit programme.  Residents interviewed are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laundry staff who complete all laundry on-site in an appropriately appointed laundry.  Residents interviewed are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Terence Kennedy House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Infection Control Committee and all other staff.  Infection control is an agenda item at the monthly staff meetings.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Terence Kennedy is the designated infection control (IC) coordinator.  There are adequate resources to implement the infection control programme for the size and complexity of the organisation.  The IC nurse and IC Committee (comprising the facility manager, registered nurse, cook and healthcare assistants) have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Terence Kennedy House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a level seven qualification in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Kennedy House’s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facility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Two hospital residents were using restraint (bedrails) and three hospital residents were using enablers (bedrails) on the day of audit.  Assessments were completed and written consent was provided by the three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confirms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training around restraint minimisation and the management of challenging behaviour that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have been undertaken by suitably qualified and skilled staff, in partnership with the family/whānau in the two restraint and two enabler files sampled.  The restraint coordinator, the resident and/or their representative and a medical practitioner are involved in the assessment and consent process.  In the files reviewed, assessments and consents are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  There is an assessment form/process that is completed for all restraints and enablers.  The files reviewed have a completed assessment form and a care plan that reflect risk.  In resident files reviewed, appropriate monitoring and documentation has been completed.  The service has a restraint and enabler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have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three-monthly or sooner if a need is identified.  Reviews are completed by the restraint coordinator.  Any adverse outcomes are reported at the monthly staff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862"/>
        <w:gridCol w:w="3522"/>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captures quality data (falls, skin tears, medication errors, infections, accident and incident and compliments/complaints).  Where areas requiring improvements were noted, corrective action plans were documented.  Not all corrective action plans have been reviewed and signed out once completed.  Not all results of audits and the corrective action plans developed have been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results of audits and corrective action plans are not consistently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corrective action plans documented are reviewed and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results of audits and corrective action plans are consistently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corrective action plans are reviewed and signed out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from assessments, monitoring charts, observations, interviews with residents, staff and families to develop the care plan.  Care plan interventions had not been documented for two residents with a recent history of wandering.  These care plan interventions were completed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hospital residents with a recent history of wandering off-site, did not have interventions documented to manage this risk.  Staff were aware of the risk and increased monitoring was occurring.  Care plan interventions were updated during the audit and therefore the risk has been identified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 interventions are documented for all identified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is maintained.  There is a planned and reactive maintenance programme in place.  The interior of the building will be repainted in the coming months and the carpet in the corridors will be replaced.  The external areas are well maintained.  Hot water temperatures are monitored at least monthly and more frequently when temperatures fluctuate.  Not all hot water temperatures in resident areas are below 45 degrees.  They have initiated interventions regarding the matter of the fluctuation of hot water temperatures, including (but not limited to) calling a plumber to review the hot water system on several occasions; and replacing the tempering valves.  However, the water temperatures at some resident hand basins remain between 45 and 53 degrees Celsius.  The plumber has stated there is nothing more they can do.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Thirty-two of forty-five hand basins in resident bedrooms have hot water temperatures recorded from 46 – 54 degrees Celsius.  The service was able to demonstrate ongoing attempts to rectify the issue, including having a signed statement from Plumber stating all has been done to rectify this matter; consideration to the fact no incident/accident has been reported relating to hot water temperature; discussed at staff and resident meetings and renewal of warning signs at each of our resident room sinks.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hot water temperatures in resident areas continue to be monitored and managed to minimise risk when exceed 45 degrees Celsius.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4726"/>
        <w:gridCol w:w="65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quality and risk management system and captures a range of quality data.  The service analyses this data to identify areas for improvement.  The service reviewed the clinical indicator data in January 2016 and identified that the incidence of falls was too high.  A project was implemented to reduce the overall falls rate.  This project included the purchase of additional equipment, replacement of some floor coverings, education for staff and residents and a change to clinical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the falls data in January 2016 evidenced that the number of falls occurring were above an acceptable benchmark.  The service initiated a project to reduce the number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education was provided to the staff and the residents (where appropriate) on how to prevent falls.  Non-slip vinyl was installed in high fall areas and additional low beds and sensor mats were provided.  The roster was altered to allow for additional staff cover during staff handover and intentional rounding process was implemented.  The resident’s care plans were amended to include falls prevention strategies and the residents were toileted more frequently.  Toolbox talks were regularly provided to staff on the importance of observing the residents at risk of falling.  Falls data was reviewed regularly at staff meetings.  The general practitioners (GP) was asked to review the medication for all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actions, the incidence of falls steadily reduced from twenty-three falls in January 2016 to five falls in March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Residential Management Limited - Tereance Kennedy House</w:t>
    </w:r>
    <w:bookmarkEnd w:id="58"/>
    <w:r>
      <w:rPr>
        <w:rFonts w:cs="Arial"/>
        <w:sz w:val="16"/>
        <w:szCs w:val="20"/>
      </w:rPr>
      <w:tab/>
      <w:t xml:space="preserve">Date of Audit: </w:t>
    </w:r>
    <w:bookmarkStart w:id="59" w:name="AuditStartDate1"/>
    <w:r>
      <w:rPr>
        <w:rFonts w:cs="Arial"/>
        <w:sz w:val="16"/>
        <w:szCs w:val="20"/>
      </w:rPr>
      <w:t>6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