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Rahiri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Rahiri Lifestyle Care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2017</w:t>
      </w:r>
      <w:bookmarkEnd w:id="7"/>
      <w:r w:rsidRPr="009418D4">
        <w:rPr>
          <w:rFonts w:cs="Arial"/>
        </w:rPr>
        <w:tab/>
        <w:t xml:space="preserve">End date: </w:t>
      </w:r>
      <w:bookmarkStart w:id="8" w:name="AuditEndDate"/>
      <w:r w:rsidR="00A4268A">
        <w:rPr>
          <w:rFonts w:cs="Arial"/>
        </w:rPr>
        <w:t>20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Rahiri is certified to provide rest home, hospital and dementia level of care for up to 49 residents.  There are 38 dual purpose beds (rest home and hospital) and an eight-bed dementia unit. At the time of the audit there were 47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The previous care home manager has recently retired and an experienced Bupa relieving care home manager is currently managing the facility until a new manager is appointed.  She is supported by an experienced clinical manager who has been in the role for five years.</w:t>
      </w:r>
    </w:p>
    <w:p w:rsidRPr="00A4268A">
      <w:pPr>
        <w:spacing w:before="240" w:line="276" w:lineRule="auto"/>
        <w:rPr>
          <w:rFonts w:eastAsia="Calibri"/>
        </w:rPr>
      </w:pPr>
      <w:r w:rsidRPr="00A4268A">
        <w:rPr>
          <w:rFonts w:eastAsia="Calibri"/>
        </w:rPr>
        <w:t>Residents, relatives and the GP interviewed spoke positively about the service.</w:t>
      </w:r>
    </w:p>
    <w:p w:rsidRPr="00A4268A">
      <w:pPr>
        <w:spacing w:before="240" w:line="276" w:lineRule="auto"/>
        <w:rPr>
          <w:rFonts w:eastAsia="Calibri"/>
        </w:rPr>
      </w:pPr>
      <w:r w:rsidRPr="00A4268A">
        <w:rPr>
          <w:rFonts w:eastAsia="Calibri"/>
        </w:rPr>
        <w:t>This certification audit identified that improvements are required in relation to complaints management; internal audit process; nursing assessments and maintenance documentation.</w:t>
      </w:r>
    </w:p>
    <w:p w:rsidRPr="00A4268A">
      <w:pPr>
        <w:spacing w:before="240" w:line="276" w:lineRule="auto"/>
        <w:rPr>
          <w:rFonts w:eastAsia="Calibri"/>
        </w:rPr>
      </w:pPr>
      <w:r w:rsidRPr="00A4268A">
        <w:rPr>
          <w:rFonts w:eastAsia="Calibri"/>
        </w:rPr>
        <w:t>There is one area of continuous improvement awarded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Bupa Rahiri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day-to-day operations.  Quality/health and safety goals are documented for the service with evidence of regular reviews.  A quality and risk management programme is embedded in practice.  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including individual information for the dementia unit.  Residents’ records reviewed provide evidence that the registered nurses (RNs) utilise the interRAI assessment to assess, plan and evaluate care needs of the residents.  Care plans are developed in consultation with the resident and/or family.  Care plans demonstrate service integration and are reviewed at least six-monthly.  Residents’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general practitioner (GP).  </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certificate is posted at the entrance to the facility.  There is an approved evacuation scheme and emergency supplies for at least three days.  A first aid trained staff member is on duty at all times. All bedrooms are single occupancy with adequate numbers of toilets and showers.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easily accessible and secure in the dementia unit.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that states the organisations philosophy to restraint minimisation.  There were no residents who required enablers or restraints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7"/>
        <w:gridCol w:w="1280"/>
        <w:gridCol w:w="9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(three caregivers, three registered nurses (RN), one activities coordinator, the clinical manager and relieving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seven residents’ files reviewed.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contained a completed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They have also created ongoing relationships with community groups that visit Bupa Rahiri.  Resident and relative meetings are held bi-monthly.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received is maintained by the care home manager using a complaints’ register.  Discussions with residents and relatives confirmed they were provided with information on complaints and complaints forms.  Complaints forms and a suggestion box are placed at reception.  Nine complaints made in 2016 and four received in 2017 year to date were reviewed.  Not all complaints reviewed had documented evidence of any follow up, feedback to the complainant or outcome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and clinical manager discuss aspects of the Code with residents and their family on admission.  Discussions relating to the Code are held during the resident/family meetings.  Eight residents (six rest home and two hospital) and six relatives (four hospital and two dementia care)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two residents who identified as Māori living at the facility.  One Māori resident interviewed confirmed that Māori cultural values and beliefs are being met.  Māori consultation is available through the documented iwi links and Māori staff who are employed by the service.  Staff receive education on cultural awareness during their induction to the service and as a regular in-service topic.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One general practitioner (GP) interviewed was satisfied with the level of care that is being provided.  The service receives support from the district health board, which includes nurse specialist’s visits.  Physiotherapy services are available as requested.  There is a regular in-service education and training programme for staff.  The service has links with the local community and encourages residents to remain independent.  Bupa has established benchmarking groups for rest home, hospital, dementia and psychogeriatric/mental health services.  Bupa Rahiri is benchmarked against the rest home, hospital and dementia services data.  If the results are above the benchmark, a corrective action plan is developed by the service.  The service demonstrated a number of examples of good practice including not using any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Fourteen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Non-subsidised residents are advised in writing of their eligibility and the process to become a subsidised resident should they wish to do so.  An introduction to the dementia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Rahiri is certified to provide rest home, hospital (medical and geriatric) and dementia level of care for up to 49 residents.  There are 38 dual-purpose beds (rest home and hospital). In addition, there are three rooms in the rest home which are smaller and are used for mobile rest home residents and an eight-bed dementia unit.  At the time of the audit there were a total of 47 residents (20 rest home residents including 1 younger person’s resident under 65 years of age (YPD), 19 hospital residents and 8 dementia level of care residents). There were no residents under other contracts or on respite.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Six key values are displayed on the wall.  There is an overall Bupa business plan and risk management plan.  Additionally, each Bupa facility develops an annual quality plan.  Bupa Rahiri has set specific quality goals for 2017.  Progress with the quality assurance and risk management programme is monitored through the Bupa managers’ meetings and various facility meetings.  Monthly and annual reviews are completed for all areas of service.  The organisation has a clinical governance group, which meets two-monthly.  Bupa has robust quality and risk management systems implemented across its facilities with four benchmarking groups established for rest home, hospital, dementia and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a relieving care home manager, who has been with Bupa for nine years and one year as a care home manager at another Bupa facility is managing the facility.  She is supported by a clinical manager who has been in this position for five years.  Care home managers and clinical managers attend annual organisational forums and regional forums six-monthly.  The regional operations manager visits monthly and more often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relieving care home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a Bupa relieving care home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operations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staff meetings.  An annual internal audit schedule was sighted for the service with evidence of internal audits occurring as per the audit schedule.  Internal audits that were not fully compliant, did not always have corrective actions initiated or completed.  The resident satisfaction survey for 2016 was at 91% overall satisfaction, which remained as the same result as the resident satisfaction survey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officer (service worker team leader)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Each event involving a resident reflected a clinical assessment and follow up by a registered nurse.  Data collected on incident and accident forms are linked to the quality management system.  The relieving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clinical manager, two RNs, three caregivers, one enrolled nurse and one health and safety officer)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A total of ten caregivers are employed to work in the dementia unit with nine having completed their national dementia qualification.  The one caregiver is in the process of completing her qualification and has been employed for less than twelve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Fifty-six percent of the total staff have attained at least one Bupa Personal Best certificate.  Registered nurses are supported to maintain their professional competency.  Seven registered nurses (including the clinical manager) are employed.   Four of seven registered nurses have completed their interRAI training.  There are a number of implemented competencies for registered nurses including (but not limited to) medication competencies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Rosters implement the staffing rationale.  There is a full-time relieving care home manager and clinical manager.  The clinical manager is on call 24/7 for any clinical issues and the relieving care home manager for any non-clinical issues.  The rest home/hospital area is staffed with one registered nurse on each shift.  Five caregivers are scheduled to work during the morning and afternoon shifts and two are scheduled to work night shift.  In the dementia unit, (eight residents) there are two caregivers on the morning and afternoon shifts and one on the night shift.  The interviews with residents and relatives confirmed staffing overall was satisfactory.  Caregivers advise that sufficient staff are rostered on for each shift.  All senior staff are trained in first aid.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regarding the dementia unit.  The admission agreement reviewed aligns with the service’s contracts.  Seven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dementia residents have an assessment and allocation completed for this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uses an electronic medication management system.  The RN checks all medications on delivery against the medication and any pharmacy errors are recorded and fed back to the supplying pharmacy.  The medication rooms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Staff responsible for the administering of medications have completed annual medication competencies and annual medication education.  Fourteen medication charts were reviewed (four dementia, four rest home and six hospital).  Photo identification and allergy status were on all 14 charts.  All medication charts had been reviewed by the GP at least three-monthly.  All resident electronic medication administration-signing sheets corresponded with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Anti-psychotic management plans are used for residents using anti-psychotic medications when medications are commenced, discontinued or changed.  The GP reviews the anti-psychotic management plans for residents with stable behaviours and refers to the psychogeriatrician to review the management plans for residents with acute changes in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oversees the food services and is supported by kitchen staff on duty each day.  The national menus have been audited and approved by an external dietitian.  The main meal is at lunchtime.  All baking and meals are cooked on-site in the main kitchen.  Meals are delivered in bain-marie to the hospital kitchenette where they are served. The rest home dining room is adjacent to the main kitchen.  The meals for the dementia unit are plated up in the kitchen and delivered to the unit.  The chef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There is evidence that additional nutritious snacks are available over 24 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and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initial assessments and reviews are evident in printed format in all resident files.  Resident files reviewed identify that risk assessments have been completed on admission and reviewed six-monthly as part of the evaluation.  Additional assessments for management of behaviour, pain, wound care, nutrition, depression score, falls and other safety assessments are appropriately completed according to need.  For the resident files reviewed, the outcomes from assessments and risk assessments are mostly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 service integration and input from allied health.  All resident care plans sampled were resident-centred and most support needs were documented in detail (link to 1.3.4.2).  Family members interviewed confirm care delivery and support by staff is consistent with their expectations.  One hospital resident had a specific ‘End of Life’ care plan in place following a change in health status.  Other specific care plans were implemented for specific health needs, including (but not limited to): dementia, medical needs, diabetes and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 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specialist input into resident’s well-being in the dementia unit.  Strategies for the provisions of a low stimulus environment could be described by the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wounds.  All wound care plans included a short-term care plan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were twelve wounds documented for the rest home and hospital and one surgical wound in the dementia unit.  The wounds included skin tears, chronic ulcers and one healing unstageable pressure injury.  The district wound care nurse specialist had reviewed the chronic, surgical and pressure injury wounds and wound care plans reflected the specialist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holds a qualification in aged care (ie, level 4 NZQA), has completed the dementia education programme “Walking in another’s shoes”, has a valid driver’s licence and a current first aid certificate.  She is employed for 32 hours a week and is supported by a group of 20 volunteers.  The activity coordinator has access to Bupa diversional therapy (DT) team at head office and attends the regional DT/activities regional study days with training and education including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programme, which is reviewed when their plan of care is reviewed and as part of their interRAI assessments.  The YPD resident in the rest home has an activity plan in place that reflects the resident’s interests and documents opportunities for the resident to be involved with community and friends.</w:t>
            </w:r>
          </w:p>
          <w:p w:rsidR="00EB7645" w:rsidRPr="00BE00C7" w:rsidP="00BE00C7">
            <w:pPr>
              <w:pStyle w:val="OutcomeDescription"/>
              <w:spacing w:before="120" w:after="120"/>
              <w:rPr>
                <w:rFonts w:cs="Arial"/>
                <w:b w:val="0"/>
                <w:lang w:eastAsia="en-NZ"/>
              </w:rPr>
            </w:pPr>
            <w:r w:rsidRPr="00BE00C7">
              <w:rPr>
                <w:rFonts w:cs="Arial"/>
                <w:b w:val="0"/>
                <w:lang w:eastAsia="en-NZ"/>
              </w:rPr>
              <w:t>Staff in the dementia unit deliver the morning activity programme seven days per week and the activity coordinator completes the afternoon activity sessions between 3.30-4.30pm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ranges of activities offered.  There are separate rest home and hospital programmes with activities that meet the needs and preferences of the two resident groups.  Variations to the group programme are made known to the residents.  Individual programmes are delivered to residents in their rooms when they are unable to or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covers physical, cognitive, social and spiritual needs.  There are regular visiting entertainers and community groups.  A garden project within the grounds of the facility has recently been completed.  This has exceeded the standard.  Targeted group programmes are offered as appropriate to meet the needs of subsets of residents.  There is a church service held weekly and some residents attend church services in the community.  Residents have the opportunity to go on outings using the service’s van.  A caregiver or a volunteer accompanies the activities coordinator on outings.  The activities coordinator drives the van and she has a current drivers licence.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resident meetings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by registered nurses six-monthly, or when changes to care occurred.  In the sample of care plans reviewed, evaluations completed document progress towards the achievement of the desired goal or outcome.  Short-term care plans for short-term needs were evaluated and either resolved or added to the long-term care plan as an ongoing need. The six-monthly multidisciplinary resident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are supported by a psychiatrist and specialist nurses from Mental Health Services for Older Persons, by the geriatric nurse specialists and by local district health board clinical nurse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identified that the service has access to a wide range of support either through the GP, Bupa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Chemicals are supplied by an external contractor and stored securely throughout the facility when not in use.  Appropriate policies are available along with chemical product safety charts.  Education on hazardous substances occurs at orientation and is included in the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There are proactive and reactive maintenance management plans in place, however there is no consistent record of maintenance having been completed as per Bupa policy.  The maintenance person commenced the role in September 2016.  Contracted providers test equipment.  Electrical testing of non-hard wired equipment has been completed.  Medical equipment requiring servicing and calibration was last conducted on 11 January 2017.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There is a secure indoor and outdoor area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available for transportation of residents.  The van driver holds a current driver’s license and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for residents.  The majority of rest home residents use a communal shower except for four rest home rooms, which have toilet/shower ensuites.  The majority of hospital rooms have toilet/shower ensuite rooms, except for six bedrooms which have ensuites.  There are no ensuite bedrooms in the dementia unit.  There are adequate communal toilets available.  Separate visitor and staff toilet facilities are available.  Water temperatures are monitored and temperatures are maintained at or below 45 degrees Celsius.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and it can be demonstrated that wheelchairs, hoists and the like can be manoeuvred around the bed and personal space.  There are three rooms in the rest home which are smaller and are used for mobile rest home level of care residents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large main lounge and a smaller bowls room (complete with raised indoor bowling area) and a dining room.  The hospital area has two lounges with one doubling as a dining area.  The dementia unit has a combined lounge/dining area.  All lounges and dining rooms are easy to access and can accommodate the equipment required for the residents.  Activities occur throughout the facility.  Residents are able to move freely and furniture is well arranged to facilitate this.  Residents were seen to be moving freely both with and without assistance throughout the audit.  Residents interviewed report they can move around the facility and staff assist them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to allow freedom of movement while promoting safety for those that wander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on-site.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The last fire evacuation drill occurred in December 2016.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 up power for emergency lighting is in place.  A minimum of one person trained in first aid and cardiopulmonary resuscitation (CPR) is available at all times.  There are call bells in the residents’ rooms and lounge/dining room areas.  Residents were observed to have their call bells placed were they could be easily accessed or sensor mats were in use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light and airy and able to be ventilated by opening external windows and doors.  There is central heating with some heat pumps located in public areas.  Internal temperatures are monitored and regulated by the maintenance manager.  There is a sheltered designated smoking area outside, which is used by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practices and reporting.  The infection control officer is a registered nurse (CM) and she is responsible for infection control across the facility.  The committee and the Bupa governing body is responsible for the development of the infection control programme and its review.  The Infection Control Committee consists of a cross section of staff and there is external input as required from general practitioners and local Community Laboratory.  A norovirus outbreak in August 2016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officer has maintained best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An outbreak in August 2016 was well managed and the required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At the time of the audit, the service had no residents using restraints or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8"/>
        <w:gridCol w:w="1280"/>
        <w:gridCol w:w="4513"/>
        <w:gridCol w:w="4557"/>
        <w:gridCol w:w="15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record of all complaints received is maintained by the care home manager using a complaints’ register.  Nine complaints were made in 2016 and four received in 2017 year to date.  Not all complaints reviewed had documented evidence of any follow up, feedback to the complainant or outcome resolution.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any follow up, feedback to the complainant or outcome resolution for two complaints that were made in March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received have documented evidence of follow up, feedback to the complainant and outcome resolution.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Quality improvement plans were not evidenced to be consistently completed for all areas of non-compliance identified in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corrective actions initiated or completed for nine internal audits that were not fully compliant.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that are not compliant have corrective actions initiated and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completion of assessment, care planning and evaluation.  All resident files included an interRAI assessment.  Initial care plans and long-term care plans reviewed were completed within identified timeframes.  Seven of eight initial assessments and care plans reviewed reflected the outcomes of the completed assessments as the basis of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for a recent admission was not evidenced to be fully completed to include a stage I pressure injury, which was documented on nursing summary discharge letter from the public hospital.  The initial care plan did not address the resident’s needs around pressure injury management, wound care, management of continuous oxygen therapy and management of anxiety.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are fully completed and the outcomes reflected in the care plans to address all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52-week maintenance plan in place.  There were no records of scheduled maintenance having been completed in 2016- April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documented records of routine scheduled maintenance having been completed in 2016 till April 2017.  A maintenance record was evidenced to be commenced in April 2017 and was signed by maintenance when each task was completed as per Bupa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maintenance required is documented to ensure that all maintenance issues are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71"/>
        <w:gridCol w:w="66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resident meetings provide an opportunity for residents to provide feedback on the activity programme.  As a result of feedback from residents, a garden project was commenced which has resulted in increased resident satisfaction and enjoyment of the external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feedback from residents who wanted to create a scented courtyard garden, a garden project was commenced in February 2017.  The gardening project has included help from staff, residents, relatives and local businesses within the community.  A new seating and planting courtyard in an area of the garden that was previously not used by residents, has been built.   There are raised garden beds and vegetable plots which the staff and residents tend.  The vegetables produced are cooked and served at meal times.  Residents interviewed are very pleased with the end result and state they are enjoying the new garden.  Residents were observed sitting out in the new courtyard area during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Rahiri Lifestyle Care &amp; Village</w:t>
    </w:r>
    <w:bookmarkEnd w:id="58"/>
    <w:r>
      <w:rPr>
        <w:rFonts w:cs="Arial"/>
        <w:sz w:val="16"/>
        <w:szCs w:val="20"/>
      </w:rPr>
      <w:tab/>
      <w:t xml:space="preserve">Date of Audit: </w:t>
    </w:r>
    <w:bookmarkStart w:id="59" w:name="AuditStartDate1"/>
    <w:r>
      <w:rPr>
        <w:rFonts w:cs="Arial"/>
        <w:sz w:val="16"/>
        <w:szCs w:val="20"/>
      </w:rPr>
      <w:t>19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