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Metlifecare Limited - Crestwood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Metlifecare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Metlifecare Crestwood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April 2017</w:t>
      </w:r>
      <w:bookmarkEnd w:id="7"/>
      <w:r w:rsidRPr="009418D4">
        <w:rPr>
          <w:rFonts w:cs="Arial"/>
        </w:rPr>
        <w:tab/>
        <w:t xml:space="preserve">End date: </w:t>
      </w:r>
      <w:bookmarkStart w:id="8" w:name="AuditEndDate"/>
      <w:r w:rsidR="00A4268A">
        <w:rPr>
          <w:rFonts w:cs="Arial"/>
        </w:rPr>
        <w:t>19 April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Metlifecare Crestwood provides rest home level care for up to 41 residents. The service is operated by Metlifecare Limited and managed by a village manager who has been in the role for nine months, and a nurse manager who is a registered nurse and has been in the role for six years.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staff and a general practitioner.  </w:t>
      </w:r>
    </w:p>
    <w:p w:rsidRPr="00A4268A">
      <w:pPr>
        <w:spacing w:before="240" w:line="276" w:lineRule="auto"/>
        <w:rPr>
          <w:rFonts w:eastAsia="Calibri"/>
        </w:rPr>
      </w:pPr>
      <w:r w:rsidRPr="00A4268A">
        <w:rPr>
          <w:rFonts w:eastAsia="Calibri"/>
        </w:rPr>
        <w:t xml:space="preserve">This audit has resulted in a continuous improvement in three criteria related to activities, medication management and corrective action planning. No areas were identified for improvements.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was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is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care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 xml:space="preserve">The food service meets the nutritional needs of the residents with special needs catered for. Food is safely managed.  Residents verified satisfaction with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policies and procedures that support the minimisation of restraint. There are no enablers or restraints in in use at the time of audit.  Documentation identifies that assessment, approval and monitoring process with regular reviews would occur should restraint be implemented.  Policy states that the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79"/>
        <w:gridCol w:w="1280"/>
        <w:gridCol w:w="877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The admission agreement reviewed show that informed consent has been gained appropriately using the organisation’s standard consent form. Advance care planning, establishing and documenting enduring power of attorney requirements and processes for residents unable to consent is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The registered nurse provided examples of the involvement of Advocacy Services in relation to the different needs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were very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complaints/concerns/issues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five complaints have been received over the past year. Four of the five have had actions taken, through to an agreed resolution, are documented and completed within the timeframes.  There is one open complaint at the time of audit which was received two days prior to audit and was being addressed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Action plans show any required follow up and improvements have been made where possible. This is clearly documented with all follow up shown – refer comments in criterion 1.2.3.8. The nurse manager and the village manager are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as part of the admission information provided, through discussion with staff, and from information found in the main foyer and each resident’s bedroom. The Code is displayed in main corridor areas of the facility together with information on advocacy services, how to make a complaint and feedback forms.   Posters in the main foyer also identify a resident’s name and photo of the person who is the resident advocate for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All residents have a private room.  Residents are encouraged to maintain their independence by continuing to partake in community activities and participation in clubs of their choosing.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r w:rsidRPr="00BE00C7">
              <w:rPr>
                <w:rFonts w:cs="Arial"/>
                <w:b w:val="0"/>
                <w:lang w:eastAsia="en-NZ"/>
              </w:rPr>
              <w:t>Posters in the main foyer identify a staff member’s name and photo and is the privacy officer for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whānau.  There is a current Māori health plan developed with input from cultural advisers.  Guidance on tikanga best practice is available and is supported by staff who identify as Māori in the facility.  Māori residents and their whānau interviewed reported that staff acknowledge and respect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The resident satisfaction survey in 2016 confirmed that individual needs are being met.  A poster in the main foyer identifies staff members who affiliate with different cultures and the languages that they speak and understand.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  The resident satisfaction survey in 2016 had an overall rating of 97% for politeness and courteousness of the care staff provided for residents which also included the involvement of care and related decisions.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hospice/palliative care team, diabetes nurse specialist, wound care specialist, psychogeriatrician and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the family satisfaction survey confirming that 91% of family were happy with the phone calls, communication and meeting the needs of their family member.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was rarely required due to all residents being able to speak English and staff able to provide interpretation as and when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which are monitored quarterly and fully reviewed annually, outline the purpose, values, scope, direction and goals of the organisation. The organisational business plan and goals are individualised for Crestwood. The documents describe annual and longer term objectives and the associated operational plans. A sample of quarterly reports to the board of directors showed adequate information to monitor performance is reported including financial performance, staffing, residents, emerging risks and issues, and quality initiatives put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service is managed by a nurse manager who holds relevant qualifications and has been in the role for six years. The nurse manager reports to the village manager who oversees all services offered at the facility. The village manager has been in the role for nine months with six years’ previous experience as an assistant village manager at another facility. Responsibilities and accountabilities are defined in a job description and individual employment agreement.  Both managers confirmed their knowledge of the sector, regulatory and reporting requirements and maintain currency through regular relevant ongoing education, attendance at management seminars and conferences and monthly senior management team meetings with the operations manager from Metlifecare.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a contract with the Waitemata District Health Board for Aged Related Residential Care (ARRC). All 40 residents were receiving services under the contract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village manager is absent, the nurse manager carries out all the required duties under delegated authority. During absences of key clinical staff, the clinical management is overseen by the senior clinical registered nurse who is experienced in the sector and able to take responsibility for any clinical issues that may arise. Input and support is also given from head office and organisational operational staff.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and medication errors.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clinical governance forum, senior staff meetings, care staff meetings and at the clinical management team meetings. The village manager completes a monthly report for the operations manager, and quarterly reporting is undertaken against the set objective in the business plan. All information is then discussed at board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their involvement in quality and risk management activities through audit activities, awareness of corrective actions, resident feedback via satisfaction surveys and results of quality data comparison to identify trends.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Relevant corrective actions are developed and implemented to address any shortfalls. Resident and family satisfaction surveys are completed annually. The most recent resident satisfaction survey showed a 100% overall satisfaction rating was gained for care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the nurse manager, the quality team, staff, the operations manager, to the clinical governance group as required, and at board level three monthly or sooner if it is deemed a serious event.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described essential notification reporting requirements, including for pressure injuries.  They advised there have been no notifications of significant events made to the Ministry of Health,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A staff member is the internal assessor for the programme.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four-week roster cycle confirmed adequate staff cover has been provided, with staff replaced in any unplanned absence.  At least one staff member on duty has a current first aid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The service has two electronic databases one of which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contracts to provide rest home and respite care.   On the day of audit there were 38 residents receiving rest home care and two residents receiving respite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evidence of the use of the yellow envelope system and communication between the hospital and service/family in the progress notes and communication sheet.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prescription. All medications sighted were within current use by dates. Clinical pharmacist input is provided weekly.</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 monthly GP review is consistently recorded on the medicine chart.  Standing orders are used, are current and comply with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residents who self-administer medications at the time of audit. Appropriate processes were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kitchen team, and is in line with recognised nutritional guidelines for older people.  The menu follows summer and winter patterns and has been reviewed by a qualified dietitian in February of this year.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registration.  The local council awarded the service an A for their approved food safety plan in March of this year. Food temperatures, including for high risk items, are monitored appropriately and recorded as part of the plan. The kitchen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in the secure unit have access to food and fluids to meet their nutritional needs at all times.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and resident meeting minutes.  The resident satisfaction survey in 2016 confirmed that residents were 100% happy with the quality and variety of meals, food presentation and meal times, and the catering of different meals required which include cultural needs.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The registered nurse at the time of audit was unaware of any known examples.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falls risk, skin integrity, incontinence, nutritional screening and depression scale, as a means to identify any deficits and to inform care planning at the time of admission.  All other assessments are then identified through ‘triggers’ created by the interRAI assessment.  The sample of care plans reviewed had an integrated range of resident-related information.  All residents have current interRAI assessments completed by one trained interRAI assessors on site.  The nurse manager is booked in for upcoming interRAI training.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states that there were no concerns with care.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one of two activity co-ordinators.  The service provides support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three monthly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reflect residents’ goals, ordinary patterns of life and include normal community activities. Individual, group activities and regular events are offered. Residents and families/whānau are involved in evaluating and improving the programme through residents’ meetings.  The resident satisfaction survey in 2016 identified 94% of residents felt they had a range and variety of recreational activities provided.  97% of residents felt supported and enabled to be involved in activities and therapies and 96% of residents were happy with the access to grounds and facilities.  Residents interviewed confirmed they look forward to the programme provided each day and the interaction of different people.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and wounds.  When necessary, and for unresolved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including to a dietician and mental health services for older persons.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20 October 2017)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bio-medical equipment is current as confirmed in documentation reviewed, interviews with maintenance personnel and observation of the environment.  Efforts are made to ensure the environment is hazard free, that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they know the processes they should follow if any repairs or maintenance is required, that any requests are appropriately actioned, and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four shower and toilet areas which are centrally located and 17 resident bedrooms with toilet ensuites. All bedrooms have hand washing facilities. Appropriately secured and approved handrails are provided in the toilet/shower areas, and other equipment/accessories are available to promote resident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 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by dedicated laundry staff. Laundry staff demonstrated a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processes are monitored through the internal audit programme and by regular monthly checks undertaken by the specialist service providers who check chemical usage in the laundry and in the kitchen.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on the 12 October 2001. A trial evacuation takes place six-monthly with a copy sent to the New Zealand Fire Service, the most recent being on 10 April 2017.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40 residents. Water storage tanks are located at the complex and there is emergency lighting which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(Refer comment in 1.2.3.6).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a night porter checks the premises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Heating is provided by electric wall mounted heaters which have individual thermostat control in residents’ rooms and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minimises the risk of infection to residents, staff and visitors.  The programme is guided by a comprehensive and current infection control manual, with input from an external source.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the designated IPC coordinator, whose role and responsibilities are defined in a job description. Infection control matters, including surveillance results, are reported monthly to the nurse manager and tabled at the quality/risk committee meeting.  This committee includes the nurse manager, IPC coordinator, the health and safety officer, and representatives from food services and household management.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for seven months.  He has undertaken training in infection prevention and control and attended relevant study days, as verified in training records sighted.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are next due to be reviewed in October 2018 and include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The IPC coordinator was able to discuss what to do in the event of an infection outbreak or if an increase in infection incidence has occurred. There was evidence that additional staff education has been provided in response.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eye, gastro-intestinal, the upper and lower respiratory tract.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nurse manager, IPC committee and staff.  Data is benchmarked externally within the Metlifecare group, ‘QPS’, and other aged care providers.  Benchmarking has provided assurance that infection rates in the facility are below average for the sector, however in reviewing residents with frequent and/or ongoing infections it was identified that the IPC coordinator has been unintentionally over reporting infections, thus infection statistics are lower than actually reported.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ensures staff education is undertaken at least yearly and all staff files reviewed during audit showed that staff have completed a self-directed learning package within the last 12 months. Management and staff demonstrated a sound understanding of the organisation’s policies, procedures and practice and the restraint coordinator undertakes an annual restraint review (last undertaken in March 2017), as part of their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 facility has remained restraint free since the previous audit and this was supported by documentation sighted. Policy identifies that enablers are the least restrictive and used voluntarily at their request.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and from interview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7894"/>
        <w:gridCol w:w="28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actions are put in place to address areas identified as requiring improvements. The corrective actions are developed via the quality improvement team which has a representative from all areas of service delivery to ensure all aspect of care are involved in the implementation of the stated improvement action. Staff confirmed during interview that they are kept fully informed of any corrective actions required and that they have the skills and knowledge to implement actions. Examples sighted included actions put in place following a complaint related to poor skin management of a resident. This resulted in the nurse manager undertaking a full review process which included analysis and reporting of findings. Staff education was undertaken to increase their knowledge and understanding of skin care and the nurse manager undertook monthly random person care audits and sought resident and family input to their satisfaction with cares provided over a four-month period. All those involved reported a high level of satisfaction. Following a medication error, the follow up included all members of clinical service delivery nursing staff, the GP and the pharmacist. Those involved in the incident undertook a reflective writing exercise to show how this could be prevented in future. Additional education was put in place for staff. In both the above mentioned corrective actions, the family/whanau were kept fully informed of the actions taken. This has resulted in better resident safety related to medication management processes.</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maintains documented evidence that corrective actions put in place are informed to staff immediately via memo and at staff handover. All corrective actions are followed up with a clearly described outcome.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actions were sighted for issues or concerns that arose from trends identified in quality data, medication errors, audit results and complaints. Each action shows how the issues have been fully addressed by implementation of corrective actions which are analysed, reported accordingly and evaluated. There is documented evidence of how the action taken based on the findings has improved the safety and/or satisfaction of residents related to service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initiative was commenced in October 2016 reviewing of residents who were prescribed more than ten medications (polypharmacy).  The purpose was to reduce or discontinue medication no longer required and/or were of a reduced benefit to the resident, and to reduce and minimise the risk of adverse medication events and drug interactions.  A meeting was held which included the nurse manager, senior registered nurse, GP and hospital pharmacist.  Of the seven medication charts reviewed, six residents had a decrease in medication with one resident requiring no changes to their medications.  There was an overall average reduction of 2.8 medications with two residents requiring further medications prescribed.  A post review also showed a significant reduction in falls.  As a result of the medication review, meetings continue for residents whom are prescribed with ten or more medications and/or have had identified clinical indicators such as falls, frailty, change in health status.  Family and residents interviewed stated that they were happy with the care provided.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rated a continuous improvement for the implementation of a medication system to reduce polypharmacy and its associated risks.   Seven residents’ medication charts with evidence of polypharmacy were reviewed and evaluated.  Of those seven charts reviewed six residents had a decrease in medications prescribed.   As a result of these findings the facility has implemented the review of all medication charts with ten or more medications prescribed and/or residents who have identified clinical indicators that may be related to medication.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improvement project in June of 2015 was created to promote resident directed care and increase knowledge and training for staff to understand this concept.   The aim was for happier residents and staff.  An anticipated risk was acknowledged by staff that residents were at a higher risk of falls as residents were encouraged to become more active in their decision making.  Residents were encouraged to use the swimming pool, a raised garden was built, village residents and care residents were encouraged to interact more (eg, ‘happy hour’, activities, use of village Facebook).  There was an increase in community interaction, a day care centre and families were involved in orientated activities.  Activities also included pet therapy, the making of photo boards, accommodating different requests at meal times, encouraging own housekeeping, options of daily showers and different music activities.  An evaluation in June of 2016 (Care home satisfaction survey) showed evidence of a marked increase in resident satisfaction.  Overall the service has found an increase in residents represented in decision making within the care home.  Resident directed care is now a standard staff meeting agenda item.  The staff as a team participate in care plan reviews which have become more individualised as the care staff know the residents better.  It was evident from staff interviewed that they knew residents well and residents and family were very happy with the care and interactions provided.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rated a continuous improvement for the way that staff have encouraged residents to be more self-directed in their care.   As a result of staff training and the options/activities provided and supported within the facility by staff, residents have increased options and opportunities.  Residents are encouraged and supported to partake in different initiatives and events occurring.  A satisfaction survey in June 2016 shows evidence of increased resident satisfaction.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Metlifecare Limited - Crestwood</w:t>
    </w:r>
    <w:bookmarkEnd w:id="58"/>
    <w:r>
      <w:rPr>
        <w:rFonts w:cs="Arial"/>
        <w:sz w:val="16"/>
        <w:szCs w:val="20"/>
      </w:rPr>
      <w:tab/>
      <w:t xml:space="preserve">Date of Audit: </w:t>
    </w:r>
    <w:bookmarkStart w:id="59" w:name="AuditStartDate1"/>
    <w:r>
      <w:rPr>
        <w:rFonts w:cs="Arial"/>
        <w:sz w:val="16"/>
        <w:szCs w:val="20"/>
      </w:rPr>
      <w:t>18 April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