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 M &amp; D L Beer Holdings Limited - Kenwyn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 M &amp; D L Beer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Kenwyn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March 2017</w:t>
      </w:r>
      <w:bookmarkEnd w:id="7"/>
      <w:r w:rsidRPr="009418D4">
        <w:rPr>
          <w:rFonts w:cs="Arial"/>
        </w:rPr>
        <w:tab/>
        <w:t xml:space="preserve">End date: </w:t>
      </w:r>
      <w:bookmarkStart w:id="8" w:name="AuditEndDate"/>
      <w:r w:rsidR="00A4268A">
        <w:rPr>
          <w:rFonts w:cs="Arial"/>
        </w:rPr>
        <w:t>3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also included verifying the service as suitable to provide medical level care under their current hospital certification.</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Kenwyn Rest Home and Hospital is privately owned and operated.  The service provides care for up to 59 residents requiring hospital, rest home and dementia level care.  On the day of the audit, there were 52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is overseen by a clinical operations manager/registered nurse who has been in a leadership role for five years. The clinical operations manager/registered nurse is supported by a general manager. Residents, family and the GP interviewed spoke positively about the service provided.</w:t>
        <w:br/>
        <w:t>This audit has identified the following areas requiring improvement: care planning, interventions, medication, chemical safety and maintenance.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services provided is readily available to residents and families.  The Health and Disability Commissioner (HDC) Code of Health and Disability Services Consumers' Rights (the Code) is presented to residents and their families during entry to the service.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Residents and family report communication with management and staff is open and transparent.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The clinical operations manager/registered nurse and the general manager are responsible for the day-to-day operations of the care facility.  The clinical operations manager/registered nurse is supported by a registered nurse (second in charge) and team of care staff.  Quality and risk management processes are implemented.  Quality goals are documented for the service.  A risk management programme is in place, which includes a risk management plan, incident and accident reporting and health and safety processes.  The health and safety programme meets current legislative requirements.  Adverse, unplanned and untoward events are documented and investigated.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operations manager takes primary responsibility for managing entry to the service with assistance from the registered nurses.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They are clearly written and caregivers report they are easy to follow.  Residents interviewed confirmed they were involved in the care planning and review process.  Each resident has access to an individual and group activities programme.  The group programme is varied and interesting.  Medicines are stored and managed appropriately in line with legislation and guidelines.  General practitioners review residents at least three-monthly or more frequently if needed.  Meals are prepared on-site and the menu has been reviewed by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Rooms are individualised. There are large spacious lounges and dining areas.  There are adequate toilets and showers.  The internal areas are able to be ventilated and heated.  There is sufficient space to allow the movement of residents around the facility using mobility aids.  The outdoor areas are safe and easily accessible.  Cleaning services are well monitored through the internal auditing system.  Laundry is completed on-site by dedicated laundry staff.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 restraint coordinator is a registered nurse who is responsible for ensuring restraint management processes are followed.  On the day of audit there were five residents utilising restraint (as needed) and one resident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02"/>
        <w:gridCol w:w="1280"/>
        <w:gridCol w:w="92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brochures are provided to residents and their families.  Policy relating to the Code is implemented.  Two managers (one general manager and one clinical operations manager/registered nurse) and twelve care staff (six caregivers, two registered nurses (RNs), one clinical support and three activities coordinators) interviewed confirmed their understanding of the Code and provided examples of how the Code is applied to residents’ cares.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Eight resident files sampled (four rest home, two hospital and two dementia) demonstrated that advanced directives are signed for separately.  There is evidence of discussion with family when the GP has completed a clinically indicated not for resuscitation order.  Caregivers and registered nurses interviewed confirmed verbal consent is obtained when delivering care.  Family members are involved in decisions that affect their relative’s lives.  All resident files sampled had a signed admission agreement signed on or before the day of admission and consents.  Residents in the dementia unit had copies of EPOA on file and where these were missing, a process was in place to obtain a copy.  Where copies of the EPOA were on resident files, there was evidence that the EPOA had been enacted or was in the process of being enacted.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HDC advocacy brochures are included in the information provided to new residents and their family during their entry to the service.  An advocacy poster is displayed in a visible location.  A resident advocate has been appointed to the service with contact details posted in a visible location.  Staff receive regular education and training on the role of advocacy services, which begins during their induction to the service.  Education is provided by the local HDC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were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The service encourages the residents to maintain their relationships with friends and community groups.  Assistance is provided by the care staff to ensure that the residents participate in as much as they can safely and desire to do, evidenced through interviews and observations.  Interviews with the rest home level residents confirmed that they are encouraged to remain active in their community and participate in social activities external to the aged care facility.  Examples include RSA, van outings and church services.  One rest home resident interviewed during the audit was getting ready to depart for the day to attend her local Mahjong group.  Local entertainers regularly visit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Access to complaints forms are located at reception.  A register of all complaints received is maintained.  Five complaints were received in 2016 and none in 2017 (year to date).  Documentation including follow-up letters and resolution demonstrated that complaints are well-managed.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and the Health and Disability Advocacy Service are included in the resident information that is provided to new residents and their families.  The clinical operations manager and/or clinical support staff discuss aspects of the Code with residents and their family on admission.  Discussions relating to the Code are also held during the monthly resident/family meetings.  All ten residents (six rest home, four hospital) and ten family (five hospital and five rest home) interviewed reported that the residents’ rights were being upheld by the service.  Note: no families from the dementia unit were available for interview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signage is on communal toilet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All of the residents and families interviewed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attend mandatory education and training on abuse and neglect, which begins during their induction to the service.  Links are in place with Age Concern for referral if abuse and/or neglect is suspected.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Links are established with Tui Pa Marae.  Resident rooms are blessed following a death.</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on cultural awareness begins during their induction to the service and continues as a regular in-service.  The caregivers interviewed provided examples of how they ensure Māori values and beliefs are upheld by the service.  There was one resident living at the facility that identified as Māori during the audit but was unable to be interviewed.  Staff reported that they sing in te reo Māori with the resident.  Cultural values and beliefs that are identified are documented in the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eight care plans reviewed (four rest home, two dementia and two hospital).  One resident file reviewed from the dementia unit had a short autobiography added to the file.  Residents and family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was evident.  A registered nurse is on-site 24 hours a day, 7 days a week.  A nurse practitioner (NP) visits the facility once a week.  One of four local general practitioners (GPs) holds a GP clinic once a week.  Residents are reviewed either by the NP or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(but is not limited to) specialist visits (gerontology nurse specialist, mental health services and cardiopulmonary specialist).  Support is also provided through Hospice New Zealand.  Physiotherapy services are available on an as needed basis through a local provider and/or the DHB community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The clinical operations manager has recently completed her post graduate diploma in health science advanced nursing stream, specialising in common and chronic health conditions (June 2016).  Commencing in Feb 2017 she is now authorised to implement standing orders for Health Te Aroha GPs for common/uncomplicated conditions.</w:t>
            </w:r>
          </w:p>
          <w:p w:rsidR="00EB7645" w:rsidRPr="00BE00C7" w:rsidP="00BE00C7">
            <w:pPr>
              <w:pStyle w:val="OutcomeDescription"/>
              <w:spacing w:before="120" w:after="120"/>
              <w:rPr>
                <w:rFonts w:cs="Arial"/>
                <w:b w:val="0"/>
                <w:lang w:eastAsia="en-NZ"/>
              </w:rPr>
            </w:pPr>
            <w:r w:rsidRPr="00BE00C7">
              <w:rPr>
                <w:rFonts w:cs="Arial"/>
                <w:b w:val="0"/>
                <w:lang w:eastAsia="en-NZ"/>
              </w:rPr>
              <w:t>A van is on-site for regular outings.  Residents and family/whānau interviewed reported that they are either satisfied or very satisfied with the services received.  A resident/family satisfaction survey is completed annually and confirmed satisfaction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was unavailable for interview.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policy also describes that open disclosure is part of everyday practice.  The care staff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A family communication sheet is held in the front of the residents’ files.  The clinical operations manager reports that she contacts family a minimum of monthly to update them on the resident’s health status.  Twenty-five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citizens’ advice bureau.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Kenwyn Rest Home provides care for up to 59 residents at rest home, hospital (geriatric and medical) and dementia level of care.  The dementia unit provides care for up to 19 residents.  The rest home and hospital has 40 beds (8 dual-purpose, 12 hospital and the remaining rest home level).  On the day of the audit, there were 15 residents in the dementia unit, 13 hospital residents and 24 rest home residents.  All residents were on the aged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This audit also included verifying the service as suitable to provide medical level care under their current hospital certification.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business plan has been developed that includes a philosophy, values and measurable goals.  Business goals documented for 2016 have been reviewed and summarised in preparation for the development of the 2017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clinical operations manager manages the service.  She is a registered nurse (RN) with 20 years of nursing experience in aged care and has been in a leadership role at this facility for the past five years.  She receives support from a general manager with a business background and a team of care staff that includes six RNs.  She is on-site three days a week and the general manager is on-site two days a week.  Both managers are also responsible for operations at another 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Both managers have completed at least eight hours of training related to management of an aged care facility, relevant to their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absence of the clinical operations manager/RN, the second in charge (2IC) RN assumes clinical responsibilities.  Administrative responsibilities are delegated to the general manager.  The clinical operations manager is responsible for administrative responsibilities in the absence of the general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general manager, clinical operations manager/RN, care staff, one cook, one cleaner, one maintenance and one laundry staff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evidenced in meeting minutes.  Staff are requested to sign that they have read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collated and analysed using a run chart methodology.  Hospital falls have reduced significantly over the past two years.  Quality data is regularly communicated to staff via monthly staff meetings and through the use of graphs that are posted each month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being implemented.  Areas of non-compliance include the initiation of a corrective action plan with corrective actions signed off to evidence their implementation.  There was evidence in the monthly staff meetings to verify staff are informed of audit results and corrective actions.  A quality improvement register is maintained that keeps a running tally of quality initiatives.  Examples since the last audit included (but were not limited to): upgrading the garden in the dementia unit, improving staff orientation by implementing a more structured mentoring programme and purchasing new equipment (e.g. washing machine).</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the health and safety officer (clinical operations manager) and review of health and safety documentation confirmed that legislative requirements are being met.  External contractors have been orientated to the facility’s health and safety programme.  The hazard register is regularly reviewed (last review 15 August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There was evidence to support actions are undertaken to minimise the number of incidents.  Clinical evaluation of residents following an adverse event is conducted by a registered nurse and was evidenced in all 25 accident/incident forms selected for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Staff are kept informed in a timely manner regarding accidents and incidents and the implementation of strategies to reduce the number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 clinical operations manager is aware of the requirement to notify relevant authorities in relation to essential notifications with an example provided following a police call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which includes the recruitment and staff selection process.  Relevant checks are completed to validate the individual’s qualifications, experience and veracity, evidenced in eight staff files randomly selected for review (six caregivers, two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are kept on file.  The service has implemented an orientation programme that provides new staff with relevant information for safe work practice.  Evidence of completed induction checklists were sighted in all eight staff files.  Annual staff appraisals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being implemented.  Regular in-services are provided by a range of in-house and external speakers including (but not limited to): nurse specialists, Aged Concern and the Health and Disability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Thirteen of fifteen caregivers who work regularly in the dementia unit have completed their New Zealand Qualification Authority (NZQA) approved dementia qualification.  The remaining two caregivers have been employed less than one year and are enrolled.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staff rationale and skill mix.  Sufficient staff are rostered to manage the care requirements of the residents.  A clinical operations manager/RN is on-site three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home/hospital (twenty-four rest home, thirteen hospital residents) is staffed with one RN each shift.  A second RN is on-site two days a week (when the clinical operations manager is unavailable) to complete interRAI assessments.  The dementia unit (15 residents) is overseen by the RN covering the rest home/hospital.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caregivers in the dementia unit and rest home/hospital.  The night shift is staffed with two caregivers in the rest home/hospital (plus the RN) and one caregiver in the dementia unit.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seven days a week in the dementia unit and five days a week in the rest home/hospital.  There are separate domestic staff who are responsible for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An initial support plan is also developed in this time.  Information containing personal resident information is kept confidential and cannot be viewed by other residents or members of the public.  Residents’ files are protected from unauthorised access by being held in secure rooms.  Archived records are secure in a separate locked storage facility located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dated, timed and signed by the carer and include their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clinical operations manager screens all potential residents prior to entry and records all admission enquires in a hard copy system.  Residents and relatives interviewed confirmed they received information prior to admission and had the opportunity to discuss the admission agreement with the general manager and the clinical operations manager.   The admission agreement form in use aligns with the requirements of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(eight rest home, four hospital and four dementia).  There are policies available for safe medicine management that meet legislative requirements.  All medication charts sampled met legislative prescribing requirements.  The medication charts reviewed identified that the GP had reviewed all resident’s medication three-monthly and all allergies were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Registered nurses interviewed could describe their role regarding medication administration.  The service uses robotic packed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The standing orders in use comply with the Standing Orders Guidelines 2016.  There were two rest home residents self-medicating on the day of audit, however not all the required documentation had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Kenwyn Rest Home are prepared and cooked on-site.  There is a food services manual in place to guide staff.  The food service menu was last audited by a dietitian in June 2015.  There is a four-weekly seasonal menu.  The cook receives dietary information for new residents and is notified of any dietary changes, weight loss or other dietary requirements by the RN.  Food allergies and dislikes are listed in the kitchen.  Special diets such as diabetic desserts, vegetarian, pureed and alternative choices for dislikes are accommodated.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plated and served from the kitchen to the rest home and hospital residents in the dining room and to the residents in the dementia unit.  Staff were observed assisting residents with their meals and drinks.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Dry goods are stored in dated sealed containers.  Chemicals are stored safely.  Cleaning schedules are maintained.  The dishwasher is checked regularly by the chemical supplier.  All staff who work in the kitchen have completed or are currently completing their food safety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specialised crockery such as lip plates, mugs and utensils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feedback on the menu and food services through the resident meeting and resident surveys.    Residents and family members interviewed were very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decision to residents/family/whānau and the referring agency.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Assessments were reviewed at least six-monthly or when there was a change to a resident’s health condition in files sampled.  The interRAI assessment tool is implemented.  InterRAI assessments have been completed for all residents.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described the support required to meet the resident’s goals and needs, however not all residents’ care needs had been noted in a care plan.  Care plan interventions did not always document interventions in sufficient detail to meet the residents’ needs.  The care plans sampled identified allied health involvement.  The interRAI assessment process informs the development of the resident’s care plan.  Residents and their family/whānau interviewed reported that they are involved in the care planning and review process.  Short-term care plans are in use for changes in health status.  The service uses the interRAI care plan template.  Staff interviewed reported they found the plans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If external nursing or allied health advice is required, the RNs will initiate a referral (e.g. to the district nurse, hospice nurse, or the mental health nurses).  If external medical advice is required, this will be actioned by the GPs or nurse practitioner.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residents with wounds which includes one resident with a stage I (facility acquired) pressure area (link hospital tracer 1.3.3).  All wounds have been reviewed in appropriate timeframes.  The RNs have access to specialist nursing wound care management advice through the district nursing service and nurse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an understanding of the individualised needs of residents.  There was evidence of pressure injury prevention interventions such as two-hourly turning charts, food and fluid charts, regular monitoring of bowels and regular (monthly or more frequently if required) weight management. Not all monitoring had been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activities coordinators are employed to operate the activities programmes for all residents.  The programme operates five days a week.  There is a separate programme for residents in the dementia unit.  Each resident has an individual activities assessment on admission, which is incorporated into the interRAI assessment process.  An individual activities plan is developed for each resident by the activities coordinators in consultation with the registered nurses.  There is a 24-hour activity plan documented for residents in the dementia unit.  Each resident is free to choose whether they wish to participate in the group activities programme or their individual plan.  Participation is monitored.  Group activities reflect ordinary patterns of life and include at least weekly planned visits to the community.  All long-term resident files sampled have a recent activity plan within the care plan and this is reviewed at least six-monthly when the care plan is evaluated or a further interRAI assessment occurs.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was evaluated at least six-monthly or earlier if there is a change in health status.  There was at least a three-monthly review by the GP or nurse practitioner.   Reassessments have been completed using interRAI LTCF and other relevant assessment tools for residents who have had a significant change in health status.  Short-term care plans sighted were evaluated and resolved or added to the long-term care plan if the problem is ongoing, as sighted in resident files sampled.  Where progress is different from expected, the service responds by initiating changes to the care plan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or nurse practitioner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but not all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on 11 April 2017.   There is a maintenance person employed 20 hours per week to address the reactive and planned maintenance programme.  Not all reactive maintenance had been completed.  All medical and electrical equipment was recently serviced and/or calibrated.  Hot water temperatures are monitored and managed within 43-45 degrees Celsius.  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Some bedrooms have shared ensuites and other residents share communal toilets and showers.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large lounges and dining areas. The lounges and dining rooms are accessible and accommodate the equipment required for the residents.  These areas are large enough to cater for activities.  Residents are able to move freely through and around these areas and furniture is placed to facilitate this.  Residents were seen to be moving freely both with and without assistance throughout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cleaning is completed on-site by dedicated staff.   They have access to a range of chemicals, cleaning equipment and protective clothing.  The standard of cleanliness is monitored through the internal audit programme.  Residents interviewed were satisfied with the standard of cleanliness and the laundry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mandatory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in the event of a civil defence emergency including food, water and blankets.  A gas barbeque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 hours a day, 7 days a week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Kenwyn Rest Home has an established infection control programme.  The infection control programme, its content and detail, is appropriate for the size, complexity and degree of risk associated with the service.  It is linked into the incident reporting system.  The clinical operations manager is the designated infection control coordinator with support from all staff as members of the infection control team.  Infection control is discussed at all staff meetings.  Minutes are available for staff.  Spot infection control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operations manager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Kenwyn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education in infection control as part of their post graduate studies and has also completed online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Kenwyn’s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all staff meetings.  If there is an emergent issue, it is acted upon in a timely manner.  Reports are easily accessible to the clinical operations manager.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Five residents (four hospital residents were using bedsides as a restraint and one dementia resident was using a lap belt) were using restraint.  One enabler (bedsides) was in use for a hospital level resident.  An assessment was completed and written consent was provided by the resident for the use of this enabler.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their understanding of the differences between a restraint and an enabler.</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training around restraint minimisation that begins during their induction to the service.  A restraint competency questionnaire is completed by staff each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an RN (2IC).  Restraint minimisation policies and procedures describe approved restraints.  Restraint use is discussed in the monthly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responsible for assessing a resident’s need for restraint.  Restraint assessments are based on information in the resident’s care plan, discussions with the resident and family and observations by staff.  Assessment tools are in place for restraint use.  All residents’ files where restraint was being used were selected for review.  Each resident using restraint had a restraint assessment completed.  Family had signed informed consent for restraint use.  The restraint assessment addressed risks associated with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being implemented.  The register identifies the residents that are using a restraint or an enabler.  Five residents were listed on the register (four hospital and one dementia).  The types of restraints used were bedsides and lap belts.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restraint assessments reviewed identified that restraint is being used only as a last resort.  The restraint assessment process includes determining the frequency of monitoring while restraint is in use.  Restraint use was linked to the residents’ care plans, although interventions to manage the associated risks (e.g. timeframes determined in the assessment) were missing in four of the five files (link 1.3.5.2).  Restraint policy indicates that all residents are monitored two-hourly at a minimum.  Care staff have been updated on restraint procedures and documentation requirements and take responsibility to ensure restraint monitoring is correctly documented.  Monitoring forms for the files reviewed were completed and included when the restraint was put on and when it was taken off.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evaluations take place six-monthly in conjunction with the care plan reviews.  Restraint use is also discussed in the monthly staff meetings.  This was confirmed in the staff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regularly reviewed by the clinical operations manager and restraint coordinator.  The reviews include identifying trends in restraint use, reviewing restraint minimisation policies and procedures and reviewing the staff education and competency assessments.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3754"/>
        <w:gridCol w:w="5785"/>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assessment, consent, monitoring and review process in place for residents who wish to self-medicate.  On the day of audit one resident was self-administering an inhaler and had not completed the required assessment or consents and there was no monitoring or record of the administration of the inhaler.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two residents (rest home) self-administering medication (inhaler) had not completed the required assessment or consenting process and no checks were being completed to see that the medication had been taken as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who are self-medicating have completed the necessary assessment and consent process.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is responsible for documenting a care plan that outlines to all staff the support and interventions required to meet the care needs of the resident.  In the files sampled care plans had not been documented for all identified care needs.  Not all interventions for assessed care needs were documented in sufficient detail to guide the care staff.  The assessment and consenting process for the use of restraint identifies the risks associated with the use of the restraint.  Not all restraint care plans documented the interventions required to manage the identified risks.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(i)Three of eight care plans reviewed (one rest home, one hospital and one dementia), did not have care plans documented for the management of indwelling catheters, management of ESBL and a diabetic management plan for a resident on insulin. </w:t>
            </w:r>
          </w:p>
          <w:p w:rsidR="00EB7645" w:rsidRPr="00BE00C7" w:rsidP="00BE00C7">
            <w:pPr>
              <w:pStyle w:val="OutcomeDescription"/>
              <w:spacing w:before="120" w:after="120"/>
              <w:rPr>
                <w:rFonts w:cs="Arial"/>
                <w:b w:val="0"/>
                <w:lang w:eastAsia="en-NZ"/>
              </w:rPr>
            </w:pPr>
            <w:r w:rsidRPr="00BE00C7">
              <w:rPr>
                <w:rFonts w:cs="Arial"/>
                <w:b w:val="0"/>
                <w:lang w:eastAsia="en-NZ"/>
              </w:rPr>
              <w:t>(ii) Five of eight files sampled (two hospital, two rest home and one dementia) did not have interventions documented in sufficient detail for the management of urosepsis, right-sided blindness, de-escalation strategies for behaviours, weight loss, Parkinson’s symptoms and the risk of developing a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Four of five residents using restraint (three hospital, one dementia) did not have interventions documented in the care plan to manage the risks associated with the use of the restraint that were identified in the assessment and consenting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(i)-(ii)Ensure that care plans are documented for all identified care needs and documented within sufficient detail.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interventions to manage the risks associated with the use of restraint are documented in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reviews information gathered from assessments, monitoring charts, observations and interviews with residents, staff and families to document the interventions required in the care plan.  The care plan describes the type and frequency of monitoring the resident requires.  Not all required monitoring was completed as noted in the care plan and not all monitoring that was completed was reviewed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completes an assessment of the resident following any adverse event.  In the accident and incident forms reviewed, neurological observations had been completed following falls, but not at the frequency or for the timeframe required by the organisational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of four behaviour monitoring forms in use for residents in the dementia unit were not fully completed and there was no documented evidence of review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Three of eight files sampled (two rest home and one hospital) did not have the monitoring of food and fluid intake recorded at each meal as required by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sections of the behaviour monitoring form are fully completed and the behaviour monitoring form is reviewed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 monitoring detailed in the care plan is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Safety data sheets are provided to staff for the cleaning chemicals used on-site.  Staff have attended training on chemical safety.  Locked storage areas are available for the safe storage of chemicals.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shower in the dementia unit also contains a sink for the cleaner to use.  This sink has a cleaning dispensing unit in it that can be accessed by the resident’s.  The staff interviewed advised that this shower door is kept locked when not in use.  On two occasions during the audit, this shower door was found unlocked.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shower in the dementia unit also contains a sink for the cleaner to use.  This sink has a cleaning dispensing unit in it that can be accessed by the resident’s.  The staff interviewed advised that this shower door is kept locked when not in use.  On two occasions during the audit, this shower door was found unlocked.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chemicals are stored securely.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maintenance person is employed 20 hours per week to undertake scheduled and planned maintenance.  The general manager and clinical operations manager coordinate maintenance requests when the maintenance person is not on-site.  There are essential contractors available over the 24-hour period.  A number of outstanding maintenance issues were noted during the audit.  Corrective action plans have been documented to rectify the outstanding issues but as yet have not been actioned.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number of outstanding maintenance issues were noted during the audit.  Specifically a) two showers in the dementia unit have cracked and crumbling shower linings and one shower has cracked lino;  b) the floor under the commercial washing machine (that is raised off the floor) has exposed unsealed concrete underneath the machine;  c) there is an area of flaky paint on the ceiling above the commercial dish washer in the kitchen;  d) the cupboard and draws under the kitchen sink in the dementia unit have exposed and swollen timbers and the formica on the bench top is very worn;  e) the bench under the hand basin in room 78 has exposed wood and the timbers have swollen;  f) a number of doors and skirting have chipped paint;  g) the carpets are dirty in the main dining room and in the hallways and the carpet in the entrance of the dementia unit smells of stale urine.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outstanding maintenance issues are addressed.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208"/>
        <w:gridCol w:w="79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regular collected and collated.  Run charts assist the clinical operations manager when analysing data.  Results are regularly shared with staff in staff meetings and via graphs placed in the staff room each month.  The implementation of a falls prevention programme has significantly reduced the number of falls for hospital level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Hospital falls have reduced significantly over the past two years.  During 2015, there was an average of 9.7 falls/month/1000 bed days.  For the year ending 2016, there was an average of 4.45 falls/month/1000 bed days.  Falls prevention strategies have included regular toileting, regular and frequent monitoring of residents who are at risk of falling and increasing staff awareness.  The clinical operations manager remarked that a competition was initiated in 2016 between their two aged care facilities that worked well to increase staff awareness.  Falls data is posted in the staff room each month.  The staff reported that they work closely as a team to ensure that residents’ falls are kept to a minimum. The clinical operations manager reported that falls have also reduced significantly in the dementia unit but run chart results were skewed due to one identified frequent faller.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 M &amp; D L Beer Holdings Limited - Kenwyn Rest Home &amp; Hospital</w:t>
    </w:r>
    <w:bookmarkEnd w:id="58"/>
    <w:r>
      <w:rPr>
        <w:rFonts w:cs="Arial"/>
        <w:sz w:val="16"/>
        <w:szCs w:val="20"/>
      </w:rPr>
      <w:tab/>
      <w:t xml:space="preserve">Date of Audit: </w:t>
    </w:r>
    <w:bookmarkStart w:id="59" w:name="AuditStartDate1"/>
    <w:r>
      <w:rPr>
        <w:rFonts w:cs="Arial"/>
        <w:sz w:val="16"/>
        <w:szCs w:val="20"/>
      </w:rPr>
      <w:t>2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