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Age Care Central Limited - Maryann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Age Care Central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Maryann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February 2017</w:t>
      </w:r>
      <w:bookmarkEnd w:id="7"/>
      <w:r w:rsidRPr="009418D4">
        <w:rPr>
          <w:rFonts w:cs="Arial"/>
        </w:rPr>
        <w:tab/>
        <w:t xml:space="preserve">End date: </w:t>
      </w:r>
      <w:bookmarkStart w:id="8" w:name="AuditEndDate"/>
      <w:r w:rsidR="00A4268A">
        <w:rPr>
          <w:rFonts w:cs="Arial"/>
        </w:rPr>
        <w:t>22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Maryann Rest Home provides rest home, hospital and dementia level of care for up to 48 residents.  On the day of the audit there were 39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service is overseen by a chief executive officer, and is managed by a nurse manager and a clinical manager and one domestic services supervisor.  The residents and relatives interviewed all spoke positively about the care and support provided.</w:t>
      </w:r>
    </w:p>
    <w:p w:rsidRPr="00A4268A">
      <w:pPr>
        <w:spacing w:before="240" w:line="276" w:lineRule="auto"/>
        <w:rPr>
          <w:rFonts w:eastAsia="Calibri"/>
        </w:rPr>
      </w:pPr>
      <w:r w:rsidRPr="00A4268A">
        <w:rPr>
          <w:rFonts w:eastAsia="Calibri"/>
        </w:rPr>
        <w:t>This certification audit identified that improvements are required in relation to advanced directives, the internal audit programme, corrective action plans, education and training, care interventions, risks associated with restraints, and restraint evaluations.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The Health and Disability Commissioner (HDC) Code of Health and Disability Services Consumers' Rights (the Code) is presented to residents and their families during entry to the service.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Residents and family report communication with management and staff is open and transparent.  Complaints and concerns are being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Quality goals are documented and regularly reviewed.  A risk management programme is in place, which includes a risk management plan, incident and accident reporting, and health and safety processes.  The health and safety programme meets current legislative requirements.  Adverse, unplanned and untoward events are documented and investigated.  Human resources are managed in accordance with good employment practice.  An orientation programme is in place for new staff.  A staff education and training programme is being implemented.  Registered nursing cover is provided twenty-four hours a day, seven days a week.  There are adequate numbers of staff on duty to ensure residents are safe.  The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comprehensive service information made available to residents and families.  Assessments, care plans and evaluations are completed by the registered nurses within the required timeframe.  Care plans are written in a way that enables all staff to clearly follow their instructions.  Each resident has access to an individual and group activities programme.  The group programme is varied and interesting.  Medication is stored appropriately in line with legislation and guidelines.  Staff have had education around medication management and all staff who administer medications have completed a competency assessment.  General practitioners review residents at least three monthly or more frequently if needed.  Meals are prepared on site.  The menu is varied and appropriate.  Individual and special dietary needs are catered for.  Alternative options can be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w:t>
      </w:r>
    </w:p>
    <w:p w:rsidRPr="00A4268A">
      <w:pPr>
        <w:spacing w:before="240" w:line="276" w:lineRule="auto"/>
        <w:rPr>
          <w:rFonts w:eastAsia="Calibri"/>
        </w:rPr>
      </w:pPr>
      <w:r w:rsidRPr="00A4268A">
        <w:rPr>
          <w:rFonts w:eastAsia="Calibri"/>
        </w:rPr>
        <w:t xml:space="preserve">All bedrooms are single occupancy and some have their own ensuite.  There is sufficient space to allow the movement of residents around the facility using mobility aids.  There are a number of small lounge and dining areas throughout the facility in addition to its main communal areas.  The internal areas can be ventilated and heated.  The outdoor areas are safe and easily accessible and the dementia garden is secure.  Cleaning and laundry staff are providing appropriate services.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The restraint coordinator is a registered nurse. There were five residents with cot side only restraints and no residents using and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residents, staff and visitors.  The infection control programme is implemented, meets the needs of the service and provides information and resources to inform the staff.  Documentation evidences that relevant infection control education is provided to all staff as part of their orientation and as part of the ongoing in-service education programme.  The type of surveillance undertaken is appropriate to the size and complexity of the service.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40"/>
        <w:gridCol w:w="1280"/>
        <w:gridCol w:w="100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of Health and Disability Consumers’ Rights (the Code) brochures are provided to residents and their families.  Policy relating to the Code is implemented.  Four managers (one clinical manager, one nurse manager, one clinical coordinator, one domestic services manager), and seven care staff (three caregivers, three registered nurses (RN), one activities coordinator) interviewed confirmed their understanding of the Code and provided examples of how the Code is applied to residents’ cares.  Staff receive training about the Code during their induction to the service.  This training continues through the mandatory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signed by the resident or their enduring power of attorney (EPOA).  Advanced directives are signed for separately.  Not all advance directives in the sample of resident files were valid.  Caregivers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seven resident files sampled had signed admission agreements and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HDC advocacy brochures are included in the information provided to new residents and their family during their entry to the service.  Residents and family interviewed were aware of the role of advocacy services and their right to access support.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regular education and training on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The service encourages their residents to maintain their relationships with friends and community groups.  Assistance is provided by the care staff to ensure that the residents participate in as much as they can safely and desire to do, evidenced through interviews and observations.  Interviews with the rest home level residents confirmed that they are encouraged to remain active in their community and participate in social activities external to the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entry to the service.  Access to complaints forms are located at reception.  A record of all complaints received is maintained.  Five complaints were received in 2016 and one in 2017 (year to date).  Documentation including follow-up letters and resolution demonstrated that complaints are well-managed.  Discussions with residents and families/whānau confirmed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and the Health and Disability Advocacy Service are included in the resident information that is provided to new residents and their families.  Staff discuss aspects of the Code with residents and their family on admission.  Discussions relating to the Code are also held during the resident/family meetings.  All seven residents (five rest home level and two hospital level and seven family (four hospital level and three dementia level) interviewed reported that the residents’ rights were being upheld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Privacy signage is on communal toilet doors.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All of the residents and families interviewed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attend mandatory education and training on abuse and neglect,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Links are established with the local marae and a cultural advisor from the district health board.  One board member identifies as Māori.</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on cultural awareness begins during their induction to the service and continues as a regular inservice.  The caregivers interviewed provided examples of how they ensure Māori values and beliefs are upheld by the service.  There were three residents living at the facility who identified as Māori during the audit but were unable to be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The staff demonstrated through interviews and observations that they are committed to ensuring each resident remains a person, even in a state of decline.  Beliefs and values are discussed and incorporated into the residents’ care plans, evidenced in all seven care plans reviewed (two rest home, three dementia and two hospital).  Residents and family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was evident.  A registered nurse is on site 24 hours a day, seven days a week.  A general practitioner (GP) visits the facility once a week.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interviewed reported that they are either satisfied or very satisfied with the services received.  A resident/family satisfaction survey is completed annually and confirmed satisfaction with the services received.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which includes (but is not limited to) specialist visits.  Physiotherapy services are available on an as needed basis through the district health board.  A van is on site for regular outings.  The kitchen has recently been refurbished.  The dementia unit, on the ground level, is linked to a landscaped outdoor area with flower gardens and numerous places to sit and enjoy the outdoors.</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is satisfied with the care that is being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policy also describes that open disclosure is part of everyday practice.  The care staff interviewed understood about open disclosure and providing appropriate information and resource material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Fifteen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DHB.  Families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Aged Care Central Limited is a company formed to manage the operations of Maryann Rest Home and one other aged care facility in Stratford.  It is registered as a charitable entity under the Charities Act. </w:t>
            </w:r>
          </w:p>
          <w:p w:rsidR="00EB7645" w:rsidRPr="00BE00C7" w:rsidP="00BE00C7">
            <w:pPr>
              <w:pStyle w:val="OutcomeDescription"/>
              <w:spacing w:before="120" w:after="120"/>
              <w:rPr>
                <w:rFonts w:cs="Arial"/>
                <w:b w:val="0"/>
                <w:lang w:eastAsia="en-NZ"/>
              </w:rPr>
            </w:pPr>
            <w:r w:rsidRPr="00BE00C7">
              <w:rPr>
                <w:rFonts w:cs="Arial"/>
                <w:b w:val="0"/>
                <w:lang w:eastAsia="en-NZ"/>
              </w:rPr>
              <w:t>Maryann Rest Home provides care for up to 48 residents at rest home, dementia and hospital (medical and geriatric) level of care.  Two beds in the dementia unit can swing to hospital level care (they have two sets of lockable doors that can be changed as needed).  One room that was going to be converted to a dementia level room (link to HealthCERT approval letter for reconfiguration of services dated 18 Sept 2015) is being used as a sensory room instead.</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39 residents.  This included 14 residents at dementia level, 9 at rest home level and 16 at hospital level.  Two residents were on the young persons with disability contract (one dementia, one hospital).  There are no designated dual-purpose beds in the rest home wing.</w:t>
            </w:r>
          </w:p>
          <w:p w:rsidR="00EB7645" w:rsidRPr="00BE00C7" w:rsidP="00BE00C7">
            <w:pPr>
              <w:pStyle w:val="OutcomeDescription"/>
              <w:spacing w:before="120" w:after="120"/>
              <w:rPr>
                <w:rFonts w:cs="Arial"/>
                <w:b w:val="0"/>
                <w:lang w:eastAsia="en-NZ"/>
              </w:rPr>
            </w:pPr>
            <w:r w:rsidRPr="00BE00C7">
              <w:rPr>
                <w:rFonts w:cs="Arial"/>
                <w:b w:val="0"/>
                <w:lang w:eastAsia="en-NZ"/>
              </w:rPr>
              <w:t>A mission statement, philosophy and goals have been determined.  A chief executive officer (CEO) reports to a board of directors.  He has a background in radiography and is also the mayor of Stratford.  Two managers/RNs are responsible for clinical operations (one clinical manager and one nurse manager) and one manager is responsible for domestic operations (eg, kitchen, cleaning, laundry, maintenance).  Goals are regularly reviewed in the manager meetings and board meetings (evidenced in the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and managers have maintained at least eight hours annually of professional development activities related to managing an aged care facility within their scope of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the nurse manager share clinical responsibilities and cover for each other when one is absent.  A designated staff member is responsible for domestic operations in the absence of the domestic services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chief executive officer, managers, care staff and domestic staff (one cook, one maintenance, one cleaner)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have been updated to include reference to InterRAI, health and safety and pressure injury management.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Quality data collected is collated and analysed with results communicated to staff, but meetings are held infrequently and results were not posted in the staff room for staff to view.  An internal audit programme is established but the completion of audits was behind schedule.  Areas of non-compliance include the initiation of a corrective action plan but corrective actions are not routinely signed off to evidence their implementation.</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that meets current legislative requirements.  An interview with two health and safety representatives and the health and safety officer (domestic services manager) and review of health and safety documentation confirmed that legislative requirements are being met.  External contractors are orientated to the facility’s health and safety programme.  Hazards registers are in place for each area and are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a comprehensive investigation of residents’ falls on a case-by-case basis to ensure that strategies to reduce falls have been implemented.  Sensor mats and lipped mattresses have assisted in reducing the number of falls.  Hip protectors are used to prevent injuries from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accidents and incidents reporting policy is in place.  There was evidence to support actions are undertaken to minimise the number of incidents.  Clinical evaluation of residents following an adverse event is conducted by a registered nurse and was evidenced in all fifteen accident/incident forms selected for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linked to the quality and risk management programme.  Missing was evidence of staff being informed in a timely manner regarding accidents and incidents and the implementation of corrective actions (where applicable) to reduce the number of adverse events (link 1.2.3.6 and 1.2.3.8).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managers confirmed their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evidenced in all eight staff files reviewed (four caregivers, four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practising certificates are kept on file.  The service has implemented a general orientation programme that provides new staff with relevant information for safe work practice.  Evidence of completed induction checklists were sighted.  Annual staff appraisals sighted were up-to-date.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programme is being implemented.  Regular in-services are provided by a range of in-house and external speakers including but not limited to nurse specialists, Aged Concern and the Health and Disability Advocacy Service.  Two caregivers who work regularly in the dementia unit have not completed the New Zealand Qualification Authority (NZQA) dementia unit standards.  There are four InterRAI trained nurses.  All RNs are first aid trained and have completed syringe driver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includes staff rationale and skill mix.  Sufficient staff are rostered to manage the care requirements of the residents.  A clinical manager/RN and nurse manage/RN work five and four days a week respectively.</w:t>
            </w:r>
          </w:p>
          <w:p w:rsidR="00EB7645" w:rsidRPr="00BE00C7" w:rsidP="00BE00C7">
            <w:pPr>
              <w:pStyle w:val="OutcomeDescription"/>
              <w:spacing w:before="120" w:after="120"/>
              <w:rPr>
                <w:rFonts w:cs="Arial"/>
                <w:b w:val="0"/>
                <w:lang w:eastAsia="en-NZ"/>
              </w:rPr>
            </w:pPr>
            <w:r w:rsidRPr="00BE00C7">
              <w:rPr>
                <w:rFonts w:cs="Arial"/>
                <w:b w:val="0"/>
                <w:lang w:eastAsia="en-NZ"/>
              </w:rPr>
              <w:t>The rest home wing (eight residents) is staffed with one caregiver on each shift.  This caregiver also assists on the hospital level wing if needed.  The hospital wing (16 residents) is staffed with an RN on each shift who is assisted by two caregivers on the am and pm shifts and one caregiver on the night shift.  The dementia unit (14 residents) is staffed with two caregivers on the am and pm shifts and one caregiver on the night shift.  Extra staff can be called on for increased resident requirements.</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seven days a week. There are separate domestic staff who are responsible for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An initial support plan is also developed in this time.  Information containing personal resident information is kept confidential and cannot be viewed by other residents or members of the public.  Residents’ files are protected from unauthorised access by being held in secure rooms.  Archived records are secure in a separate locked area.  All electronic data is backed up securely using cloud-based technology.</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dated, timed and signed by the carer, and includes their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Residents receive an information pack outlining services able to be provided, the admission process and entry to the service.  The clinical manager or nurse manager screen all potential residents prior to entry and record all admission enquires.  The admission agreement form in use aligns with the requirements of the ARC contract.  Exclusions from the service are included in the admission agreement.  The information provided at entry includes examples of how services can be accessed that are not included in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Medication administration practice complies with the medication management policy for the medication rounds sighted.  Medication prescribed was signed as administered on the electronic signing charts sampled.  Registered nurses and senior caregivers administer medicines.  All staff that administer medication have been assessed as competent and have received medication management training.  The facility uses a blister pack medication management system for the packaging of all tablets.  The RN on duty reconciles the delivery and documents this.  The 14 electronic medication charts sampled were written correctly by medical practitioners and there was evidence of three monthly reviews by the GP.  There were no residents self-administering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 site.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require special diets and the cook works closely with the RNs on duty.  The kitchen staff have completed food safety training.  The cook follows a rotating seasonal menu, which has been reviewed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decision to potential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InterRAI assessments were completed and were reviewed at least six monthly or when there was a change to a resident’s health condition in files sampled.  Areas triggered in the InterRAI assessment then had a more comprehensive assessment completed in the electronic database and the information from these assessments automatically populates the individualised long-term care plan (link 1.3.6.1).  Care plans reviewed were developed based on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electronic long-term care plans reviewed described the support required to meet the resident’s goals and needs except behaviour management (link 1.3.6.1) and identified allied health involvement under a comprehensive range of template headings.  Residents and their family/whānau are involved in the care planning and review process.  Electronic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electronic care plan and report progress against the care plan each shift.  Care plans are developed automatically following a set of personalised assessments and the update of these on the electronic database.  Interventions to manage behaviours were not documented in the system but all other identified areas of need were.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are in place for nine residents with wounds – eight skin tears and one fungating skin cancer.  There were no pressure injuries at the time of the audit.  One resident had combined documentation for two wounds.  Three had not been documented as reviewed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RNs have access to specialist nursing wound care management advice through the gerontology nurse specialist and the one chronic wound had received input from this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interventions including food and fluid charts, turning charts, weight monitoring and blood sugar recordings were sighted in the electronic database and demonstrated interventions to meet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activities coordinators are employed four days per week each and every second weekend to coordinate the activities programme for all residents.  They are supported by a diversional therapist in the dementia unit one day per week.  Activities are provided seven days per week in the activities unit and are planned around residents’ interests, needs and abilities.  Outside of the hours the activities coordinator are available suggested activities for each resident were documented in files sampled and staff engage residents in activities.  A separate programme runs for residents in the rest home and hospital units.  Each resident has an individual activities assessment on admission and from this information an individual activities plan is developed as part of the care plan by the registered nurses with input from the activities staff.  Each resident is free to choose whether they wish to participate in the group activities programme or their individual plan and significant time is dedicated to 1:1 activities.  Participation is monitored in individual progress notes records.  Group activities reflect ordinary patterns of life and include planned visits to the community.  All resident files sampled have a recent activities plan within the care plan and this is evaluated at least six monthly when the care plan is evaluated.  Residents and families interviewed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sampled, all initial care plans were evaluated by the registered nurses within three weeks of admission. The long-term care plans reviewed were evaluated at least six monthly or earlier if there was a change in health status.  There is at least a three-monthly review by the GP.  All changes in health status were documented and followed up.  Short-term care plans sighted were evaluated and resolved or added to the long-term care plan if the problem was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 building has a number of alcoves and lounge areas in each unit.  Maintenance is coordinated by the domestic services manager who has two staff to complete handyman type tasks across this and another site and who engages contractors as required, ensuring reactive and planned maintenance occurs.  All medical and electrical equipment was recently serviced and/or calibrated.  Hot water temperatures are monitored and managed within 43-45 degrees Celsius.  The facility has sufficient space for residents to mobilise using mobility aids, including a mobility scooter parking/charging bay.  The external area is well maintained. The dementia gardens have been designed with the support of an international dementia unit design specialist and are secure.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numbers of toilets and shower/bathing areas for residents and separate toilets for staff and visitors.  Some bedrooms have their own ensuites and others share communal facilities.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including those required by hospital level care residents in the dual-purpose and hospital level rooms.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include the main lounge in each area and several smaller lounges and separate dining areas in each of the rest home, hospital and dementia units.  The communal areas are easily and safely accessible for residents.  The dementia unit has several smaller seating areas and a sensory room to support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dedicated cleaning staff that are overseen by the household services manager.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linen is laundered off-site and personal washing is done in the on-site laundry by dedicated laundry staff.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orientation programme and mandatory education and training programme include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gas barbeque is available.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Call bells are checked regularly by the domestic staff.</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available 24 hours a day, seven days a week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Maryann Rest Home has an established infection control programme.  The infection control programme, its content and detail, is appropriate for the size, complexity and degree of risk associated with the service.  The senior registered nurse is the designated infection control nurse with support from the registered nurses and the management committee.  Minutes are available for staff.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registered nurse is the designated infection control (IC) nurse.  There are adequate resources to implement the infection control programme for the size and complexity of the organisation.  The IC nurse and IC team (comprising the quality management team and care staff) have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an external contractor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Monthly infection data is collected for all infections based on signs and symptoms of infection.  An electronic individual resident infection form is completed, which includes signs and symptoms of infection, treatment, follow-up, review and resolution.  Surveillance of all infections is entered onto a monthly infection summary.  This data is monitored and evaluated monthly and annually, and provided to staff at facility meetings.  Outcomes and actions are discussed at facility meetings.  If there is an emergent issue, it is acted upon in a timely manner.  Reports are easily accessible to the clinical team and nurse managers.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Five residents (hospital level) were using bedrails as a restraint.  No enablers were in use.  An assessment process is in place for the use of an enabler if needed.  Staff interviews confirmed their understanding about the differences between a restraint and an enabler.</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regular training around restraint minimisation that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clinical coordinator/RN.  Restraint minimisation policies and procedures describe approved restraints.  A restraint approval group meets every three - four months.  The agenda includes discussing residents who are using restraint, resources and equipment, review of restraint policies, audits, and training/education.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is covered in the caregiver and RN meetings (link 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responsible for assessing a resident’s need for restraint.  Restraint assessments are based on information in the resident’s care plan, discussions with the resident and family and observations by staff.  Assessment tools are in place for restraint use.  Three hospital level residents’ files where restraint was being used were selected for review.  Each file included a restraint assessment and signed consent.  The restraint assessment failed to address risks associated with restraint use and therefore this information was not available in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being implemented.  The register identifies the residents that are using a restraint, and the type of restraint used.  Five hospital level residents were listed on the register.  The type of restraints used was bedrails.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assessments reviewed identified that restraint is being used only as a last resort.  The restraint assessment process includes determining the frequency of monitoring while restraint is in use (link 2.2.2.1).  RNs have been updated on restraint procedures and documentation requirements and take responsibility at each shift to ensure restraint monitoring is correctly documented.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for the files reviewed were completed and included when the restraint was put on and when it was taken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evaluations are scheduled six-monthly in conjunction with the care plan review.  The restraint coordinator reported that restraint use is also discussed in the restraint approval group meetings that take place every four months.  This was confirmed in the meeting minutes. The restraint evaluation process was evidenced only by the GP’s signature.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the approval group meetings.  The reviews include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74"/>
        <w:gridCol w:w="1280"/>
        <w:gridCol w:w="3352"/>
        <w:gridCol w:w="2495"/>
        <w:gridCol w:w="14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sampled contained an advance directive.  In three of the seven files the form was completed by the resident and the general practitioner (GP) had co-signed and confirmed that the resident was competent to have completed this.  Four of seven files sampled (two from the dementia unit and two from the hospital) contained an advance directive that was not valid.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seven files sampled (two from the dementia unit and two from the hospital) contained an advance directive that was not valid. One advance directive was signed by an EPOA where the resident was not deemed competent to sign.  Three forms had been signed by the GP that the resident was not competent to make an advance directive, and documented as not for resuscitation, but there was no indication that this was a clinically indicated decision.  The template was addressed on the day.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advance directives are valid.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programme is established. Data is collected and collated by the clinical coordinator/RN (eg, falls, infections, skin tears, medication errors, bruises).  Data is also trended and analysed and is communicated to staff via the staff meetings but there were only five RN and four caregiver meetings in 2016.  There were no results posted in the staff room.  An internal audit programme is established but was not fully implemented in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was not completed as per the internal audit schedule for 2016 (10 of 19 audits were sighted as completed  for 2016).  Interviews with the managers confirmed that internal audits were behind schedule in 2016.  Also missing was the timely communication of quality results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internal audits are completed as per the internal audit schedule.  </w:t>
            </w:r>
          </w:p>
          <w:p w:rsidR="00EB7645" w:rsidRPr="00BE00C7" w:rsidP="00BE00C7">
            <w:pPr>
              <w:pStyle w:val="OutcomeDescription"/>
              <w:spacing w:before="120" w:after="120"/>
              <w:rPr>
                <w:rFonts w:cs="Arial"/>
                <w:b w:val="0"/>
                <w:lang w:eastAsia="en-NZ"/>
              </w:rPr>
            </w:pPr>
            <w:r w:rsidRPr="00BE00C7">
              <w:rPr>
                <w:rFonts w:cs="Arial"/>
                <w:b w:val="0"/>
                <w:lang w:eastAsia="en-NZ"/>
              </w:rPr>
              <w:t>Ensure that staff receive timely information relating to internal audit results, trends in data and corrective actions.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are documented where improvements are required.  Missing was evidence of the corrective actions being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 lack of evidence to verify that a sample of corrective actions were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documented evidence to confirm that corrective actions are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programme is in place for staff that includes mandatory training and specialised training.  Internal and external speakers (eg, HDC Advocacy Services, DHB, Aged Concern) are invited to present topics to staff.  </w:t>
            </w:r>
          </w:p>
          <w:p w:rsidR="00EB7645" w:rsidRPr="00BE00C7" w:rsidP="00BE00C7">
            <w:pPr>
              <w:pStyle w:val="OutcomeDescription"/>
              <w:spacing w:before="120" w:after="120"/>
              <w:rPr>
                <w:rFonts w:cs="Arial"/>
                <w:b w:val="0"/>
                <w:lang w:eastAsia="en-NZ"/>
              </w:rPr>
            </w:pPr>
            <w:r w:rsidRPr="00BE00C7">
              <w:rPr>
                <w:rFonts w:cs="Arial"/>
                <w:b w:val="0"/>
                <w:lang w:eastAsia="en-NZ"/>
              </w:rPr>
              <w:t>Caregiver staff, activities staff and registered nurses working in the dementia unit have completed training in dementia care.  Eleven caregivers work in the dementia unit with three casual staff.  Five of eleven caregivers have completed an NZQA approved (ACE) dementia course.  The registered nurses and two caregivers completed an online training course (‘Understanding Dementia’) through the University of Tasmania.  This course is not accredited through NZQA and therefore does not meet requirements of the DHB contract for caregivers working in a dementia unit.  Five caregivers have been employed for less than one year and are enrolled in an NZQA approved course.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caregiver has worked in the dementia unit for over one year and has not completed an NZQA approved dementia course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caregivers complete an NZQA approved course on dementia care within their first year of employment in the dementia unit as per ARC contract.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needs are included in the electronic care plan and these are populated in the electronic assessments.  For all resident files, all identified needs except behaviour management had comprehensive and individualised interventions documented to guide staff.  Behaviour management issues were assessed using behaviour assessments and behaviour monitoring charts and staff were able to describe and were witnessed to provide appropriate behaviour management techniques for individual residents, despite these not being documented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Wound documentation including comprehensive assessments and frequently updated wound management is completed on the electronic database.  The database went live in May 2016 and staff continue to learn the programme.  Not all wounds had documented reviews in the required timeframe.  Discussion with the clinical coordinator and registered nurses identified that this was due to staff not being aware of the need to actively change the date in the section where the updates are documented, an issue that had been previously identified but not yet rectified.</w:t>
            </w:r>
          </w:p>
          <w:p w:rsidR="00EB7645" w:rsidRPr="00BE00C7" w:rsidP="00BE00C7">
            <w:pPr>
              <w:pStyle w:val="OutcomeDescription"/>
              <w:spacing w:before="120" w:after="120"/>
              <w:rPr>
                <w:rFonts w:cs="Arial"/>
                <w:b w:val="0"/>
                <w:lang w:eastAsia="en-NZ"/>
              </w:rPr>
            </w:pPr>
            <w:r w:rsidRPr="00BE00C7">
              <w:rPr>
                <w:rFonts w:cs="Arial"/>
                <w:b w:val="0"/>
                <w:lang w:eastAsia="en-NZ"/>
              </w:rPr>
              <w:t>As both issues are documentation issues relating to the implementation of the new database, the risk is assessed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care plans for residents with identified behaviours did not have interventions to manage the behaviours clearly documented.</w:t>
            </w:r>
          </w:p>
          <w:p w:rsidR="00EB7645" w:rsidRPr="00BE00C7" w:rsidP="00BE00C7">
            <w:pPr>
              <w:pStyle w:val="OutcomeDescription"/>
              <w:spacing w:before="120" w:after="120"/>
              <w:rPr>
                <w:rFonts w:cs="Arial"/>
                <w:b w:val="0"/>
                <w:lang w:eastAsia="en-NZ"/>
              </w:rPr>
            </w:pPr>
            <w:r w:rsidRPr="00BE00C7">
              <w:rPr>
                <w:rFonts w:cs="Arial"/>
                <w:b w:val="0"/>
                <w:lang w:eastAsia="en-NZ"/>
              </w:rPr>
              <w:t>(ii)  Three of nine wounds had periods of three to four days where wound reviews had not been documented in the electronic database.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interventions to manage behaviours that challenge are documented in the electronic database.</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wound reviews are documented and saved.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is completed prior to restraint being used.  The assessment process identified the need for restraint.  Missing in all three restraint files reviewed was evidence of any risks associated with the restraint (cot sides).  This area for improvement had been identified during a restraint audit (November 2016) but there was no evidence to support implementation (link to finding 1.2.3.8).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process failed to identify the risks associated with restraint use and therefore did not link identified risks to the residents’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restraint assessment process identifies risks associated with the use of restraint and interventions to manage these risks are identified in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2.2.4.1</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in collaboration with the consumer and shall consider:</w:t>
              <w:br/>
              <w:t>(a) Future options to avoid the use of restraint;</w:t>
              <w:br/>
              <w:t>(b) Whether the consumer's service delivery plan (or crisis plan) was followed;</w:t>
              <w:br/>
              <w:t>(c) Any review or modification required to the consumer's service delivery plan (or crisis plan);</w:t>
              <w:br/>
              <w:t>(d) Whether the desired outcome was achieved;</w:t>
              <w:br/>
              <w:t>(e) Whether the restraint was the least restrictive option to achieve the desired outcome;</w:t>
              <w:br/>
              <w:t>(f) The duration of the restraint episode and whether this was for the least amount of time required;</w:t>
              <w:br/>
              <w:t>(g) The impact the restraint had on the consumer;</w:t>
              <w:br/>
              <w:t>(h) Whether appropriate advocacy/support was provided or facilitated;</w:t>
              <w:br/>
              <w:t>(i) Whether the observations and monitoring were adequate and maintained the safety of the consumer;</w:t>
              <w:br/>
              <w:t>(j) Whether the service's policies and procedures were followed;</w:t>
              <w:br/>
              <w:t>(k) Any suggested changes or additions required to the restraint education for service providers.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evaluation of restraint is scheduled to take place six-monthly, while the resident’s care plan is reviewed.  A comprehensive evaluation of restraint use for each resident had occurred prior to the implementation of the electronic clinical record system.  But since its implementation, the evaluation process has included a GP’s signature only.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process was evidenced only by the GP’s signature.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evaluation of restraint includes addressing all aspects of the criterion.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Age Care Central Limited - Maryann Rest Home and Hospital</w:t>
    </w:r>
    <w:bookmarkEnd w:id="58"/>
    <w:r>
      <w:rPr>
        <w:rFonts w:cs="Arial"/>
        <w:sz w:val="16"/>
        <w:szCs w:val="20"/>
      </w:rPr>
      <w:tab/>
      <w:t xml:space="preserve">Date of Audit: </w:t>
    </w:r>
    <w:bookmarkStart w:id="59" w:name="AuditStartDate1"/>
    <w:r>
      <w:rPr>
        <w:rFonts w:cs="Arial"/>
        <w:sz w:val="16"/>
        <w:szCs w:val="20"/>
      </w:rPr>
      <w:t>21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