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Village at The Park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Village at The Park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Village At The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March 2017</w:t>
      </w:r>
      <w:bookmarkEnd w:id="7"/>
      <w:r w:rsidRPr="009418D4">
        <w:rPr>
          <w:rFonts w:cs="Arial"/>
        </w:rPr>
        <w:tab/>
        <w:t xml:space="preserve">End date: </w:t>
      </w:r>
      <w:bookmarkStart w:id="8" w:name="AuditEndDate"/>
      <w:r w:rsidR="00A4268A">
        <w:rPr>
          <w:rFonts w:cs="Arial"/>
        </w:rPr>
        <w:t>9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Village at the Park facility is one of four age care facilities owned by Hurst Lifecare Limited.  The service provides care for up to 85 residents across three service levels (hospital, rest home and dementia).  There were 81 residents living at the facility at the time of the audit.</w:t>
      </w:r>
    </w:p>
    <w:p w:rsidRPr="00A4268A">
      <w:pPr>
        <w:spacing w:before="240" w:line="276" w:lineRule="auto"/>
        <w:rPr>
          <w:rFonts w:eastAsia="Calibri"/>
        </w:rPr>
      </w:pPr>
      <w:r w:rsidRPr="00A4268A">
        <w:rPr>
          <w:rFonts w:eastAsia="Calibri"/>
        </w:rPr>
        <w:t>This surveillance audit was conducted against aspects of the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The service has addressed the previous audit finding around residents being able to access the nurse call bell system.</w:t>
      </w:r>
    </w:p>
    <w:p w:rsidRPr="00A4268A">
      <w:pPr>
        <w:spacing w:before="240" w:line="276" w:lineRule="auto"/>
        <w:rPr>
          <w:rFonts w:eastAsia="Calibri"/>
        </w:rPr>
      </w:pPr>
      <w:r w:rsidRPr="00A4268A">
        <w:rPr>
          <w:rFonts w:eastAsia="Calibri"/>
        </w:rPr>
        <w:t xml:space="preserve">This audit has identified one improvement required around the completion of 24-hour activity plans for residents in the dementia unit. </w:t>
      </w:r>
    </w:p>
    <w:p w:rsidRPr="00A4268A">
      <w:pPr>
        <w:spacing w:before="240" w:line="276" w:lineRule="auto"/>
        <w:rPr>
          <w:rFonts w:eastAsia="Calibri"/>
        </w:rPr>
      </w:pPr>
      <w:r w:rsidRPr="00A4268A">
        <w:rPr>
          <w:rFonts w:eastAsia="Calibri"/>
        </w:rPr>
        <w:t>The service has maintained a previously awarded continuous improvement rating around evidencing good practise.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A policy on open disclosure is in place. There is evidence that residents and family are kept informed.  The rights of the resident and/or their family to make a complaint is understood, respected and upheld by the service.  A system for managing complaints is in place.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general manager and an assistant manager/clinical leader are responsible for the day-to-day operations of the facility.  Quality and risk management processes are maintained, reflecting the principals of continuous quality improvement.  Quality goals are documented for the service.  Corrective action plans are implemented where opportunities for improvement are identified.  A robust health and safety programme is in place, which includes a risk management plan, incident and accident reporting and health and safety processes.  Residents receive appropriate services from suitably qualified staff.  Human resources are managed in accordance with good employment practice, meeting legislative requirements.  An orientation programme is in place for new staff.  Ongoing education and training for staff is in place.  Registered nursing cover is provided 24 hours a day, 7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assesses and develops the care plan documenting support, needs, goals and outcomes with the resident and/or family/whānau input.  Care plans viewed in resident records demonstrated service integration and were reviewed at least six-monthly by the multidisciplinary team.  Resident files included review by the general practitioner, specialist and allied health services.   </w:t>
      </w:r>
    </w:p>
    <w:p w:rsidRPr="00A4268A" w:rsidP="00621629">
      <w:pPr>
        <w:spacing w:before="240" w:line="276" w:lineRule="auto"/>
        <w:rPr>
          <w:rFonts w:eastAsia="Calibri"/>
        </w:rPr>
      </w:pPr>
      <w:r w:rsidRPr="00A4268A">
        <w:rPr>
          <w:rFonts w:eastAsia="Calibri"/>
        </w:rPr>
        <w:t xml:space="preserve">A diversional therapist oversees the activity team and coordinates the activity programme for the rest home, hospital and dementia level of care residents.  The programme includes community visitors and outings, entertainment and activities that meet the individual recreational, physical, cultural and cognitive abilities and preferences for each resident group.  Residents and families report satisfaction with the activities programme.  Residents are encouraged to maintain links with community groups.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have completed medication competencies and annual education.  The medicine charts reviewed meet prescribing requirements. The general practitioner reviews medications three-monthly.  </w:t>
      </w:r>
    </w:p>
    <w:p w:rsidRPr="00A4268A" w:rsidP="00621629">
      <w:pPr>
        <w:spacing w:before="240" w:line="276" w:lineRule="auto"/>
        <w:rPr>
          <w:rFonts w:eastAsia="Calibri"/>
        </w:rPr>
      </w:pPr>
      <w:r w:rsidRPr="00A4268A">
        <w:rPr>
          <w:rFonts w:eastAsia="Calibri"/>
        </w:rPr>
        <w:t xml:space="preserve">Resident food preferences and dietary requirements are identified at admission and all meals are cooked on-site.  Food, fluid and nutritional needs of residents are provided in line with recognised nutritional guidelines and additional requirements/modified needs were being met.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Village at the Park has restraint minimisation and safe practice policies and procedures in place.  Staff receive training in restraint minimisation and challenging behaviour management.  On the day of audit there was one resident requiring the use of an enabler and five residents requiring the use of a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type of surveillance undertaken is appropriate to the size and complexity of the organisation.  Standardised definitions are used for the identification and classification of infection events.  The service benchmarks infection control data against other villages within the group.</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Access to complaint forms and a suggestions box are located at reception.  The complaint form includes contact details for the HDC Advocacy Service.  A record of all verbal and written complaints received is maintained by the general manager using a complaint’s register.  Three complaints were received in 2016 and four made in 2017 year-to-date with evidence of appropriate and timely follow-up actions taken.  Documentation including follow-up letters and resolution demonstrates that complaints are well-managed.  An anonymous complaint made through the district health board (DHB) in 2016 had corrective actions implemented, which were followed up and closed off (sighted).  Discussions with six residents (three rest home and three hospital) and five relatives (two rest home, two hospital and one dementia level of care) confirmed they were provided with information on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was evident, promoting and encouraging good practice.  Registered nursing staff are available 7 days a week, 24 hours a day.  The service receives support from the district health board which includes visits from specialists (e.g., wound care, mental health) and staff education and training.  Physiotherapy services are provided for four hours per week with additional support provided by a designated physiotherapy assistant.  There is an education and training programme for staff that includes in-service training, support with literacy and numeracy skills and impromptu training at handovers.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evidenced that the previous continuous improvement rating awarded at certification audit has continued to be implemented and evidences improved outcomes.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Evidence of communication with family/whānau is documented on accident/incident forms.  Fourteen accident/incident forms were reviewed across the rest home, hospital and dementia unit identified family were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stated that they are kept informed when their family member’s health status changes.  The Hurst Lifecare’s ‘Vision and Values’ brochures and posters are visible and available throughout the facility.  The residents and family are informed prior to entry of the scope of services and any items they have to pay that are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available for access to interpreter services for residents (and their family/whānau).  If residents or family/whānau have difficulty with written or spoken English, the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at the Park facility is located in Wellington.  It is one of four care facilities owned by Hurst Lifecare Limited.  The service currently provides care for up to 85 residents across three services (hospital, rest home and dementia level of care).  On the day of the audit, there were 39 of 42 hospital residents, 10 of 10 rest home residents and 32 of 33 residents residing in the secure dementia unit.  All residents were under the Aged Related Residential Care (ARRC).  </w:t>
            </w:r>
          </w:p>
          <w:p w:rsidR="00EB7645" w:rsidRPr="00BE00C7" w:rsidP="00BE00C7">
            <w:pPr>
              <w:pStyle w:val="OutcomeDescription"/>
              <w:spacing w:before="120" w:after="120"/>
              <w:rPr>
                <w:rFonts w:cs="Arial"/>
                <w:b w:val="0"/>
                <w:lang w:eastAsia="en-NZ"/>
              </w:rPr>
            </w:pPr>
            <w:r w:rsidRPr="00BE00C7">
              <w:rPr>
                <w:rFonts w:cs="Arial"/>
                <w:b w:val="0"/>
                <w:lang w:eastAsia="en-NZ"/>
              </w:rPr>
              <w:t>Hurst Lifecare Limited has an organisational philosophy, which includes a vision and values statement and objectives.  The quality plan objectives for the Village at the Park are linked to the organisation’s strategies.  The organisation has a strategic direction that has been communicated to staff.  The 2016 quality plan objectives have been reviewed and updated (sighted).  The general manager is the Spark of Life master practitioner for the Spark of Life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is a registered nurse (RN) who has been in this role for over seven years.  The general manager has a Masters in Health Service Management.  The general manager is supported by an assistant manager/clinical leader (who has been in the role for six weeks) and three unit coordinators.  The general manager is also supported by a national quality advisor, who was present on the day of the audit.  The general manager has maintained over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being maintained.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A system for document control is in place.  Any new policies or changes to policy are communicated to staff, evidenced in meeting minutes and in interviews with staff (four caregivers, two RNs, two enrolled nurses (EN), three activities assistants and one cook).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the quality management system include (but are not limited to): monitoring falls, medication errors, restraint use, pressure areas, infections, wounds and resident satisfaction.  Monthly reports submitted to the national quality advisor and the chief executive officer provide a coordinated process between service level and the organisation.  There are monthly accident/incident reports that break down the data collected across the rest home, dementia unit, hospital units and staff incidents/accidents.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programme in place with strategies implemented to promote staff wellness.  The health &amp; safety committee meet monthly.  Infections and health and safety matters, such as staff accidents are discussed at the Quiche (quality, infection control and health and safety) meeting and then fed back to the monthly staff meetings.  Resident meetings also occur monthly.  The internal audit programme monitors key components of the service.  If a target is not met or an area of non-compliance is identified, there is evidence of a corrective action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incident reports are documented for each incident/accident and are also documented in the residents’ progress notes.  Documentation includes the action taken and any follow up action required.  Data is linked to the organisation's quality and risk management programme and is used for comparative purposes.  Fourteen completed incident forms were reviewed and reflected a clinical assessment and follow up by a RN.  Discussions with the general manager and national quality advisor confirmed their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Six staff files reviewed (one assistant manager, two caregivers, two RNs and one activities assistant) included evidence of the recruitment process, signed employment contracts, police vetting and completed orientation programmes and annual performance appraisals.  The orientation programme provides new staff with relevant information for safe work practice.  Competencies are completed specific to worker type.  Staff interviewed stated that they believed new staff were adequately orientated to the service.  A register of current practising certificates for all health professionals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schedule.  Education for RNs is supported by the local DHB.  Discussions with staff and management confirmed that a comprehensive education and training programme in relevant aspects of care and support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22 caregivers who work in the dementia unit.  Nineteen of the caregivers have completed the required dementia standards.  The three caregivers who have not yet completed the required dementia standards have been employed for less than one year and are enrolled in the dementia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staffing policy that aligns with contractual requirements and includes skill mixes.  The general manager is an RN with a current practising certificate.  Two unit coordinators/RNs are assigned to the dementia and hospital wings and one unit coordinator/EN is assigned to the rest home wing.  There is another RN in the hospital also across am, pm &amp; night shifts.  An RN is available on-site 24 hours a day, 7 days a week.  Caregivers are adequately staffed throughout the facility.  Staffing is flexible to meet the acuity and needs of the residents.  A casual pool of staff is available as needed.  Interviews with six residents and five families confirmed staffing overall was satisfactory.</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is split into two units, Block A (15 beds/15 residents) where there were two caregivers on the am &amp; pm shifts &amp; one at night.  Block B (18 beds/17 residents) there were three caregivers in the am &amp; pm shifts &amp; one at night.  There is one RN across the dementia units on the am &amp; pm shift.</w:t>
            </w:r>
          </w:p>
          <w:p w:rsidR="00EB7645" w:rsidRPr="00BE00C7" w:rsidP="00BE00C7">
            <w:pPr>
              <w:pStyle w:val="OutcomeDescription"/>
              <w:spacing w:before="120" w:after="120"/>
              <w:rPr>
                <w:rFonts w:cs="Arial"/>
                <w:b w:val="0"/>
                <w:lang w:eastAsia="en-NZ"/>
              </w:rPr>
            </w:pPr>
            <w:r w:rsidRPr="00BE00C7">
              <w:rPr>
                <w:rFonts w:cs="Arial"/>
                <w:b w:val="0"/>
                <w:lang w:eastAsia="en-NZ"/>
              </w:rPr>
              <w:t>Four caregivers (two dementia &amp; two hospital) were interviewed.  Caregivers interviewed stated that there was sufficient staffing.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files were reviewed (four rest home, four hospital and four dementia level of care).  The service uses an electronic medication management system.  The medication management policies comply with medication legislation and guidelines.  All required medication checks had been completed.  Medicines are appropriately stored in accordance with relevant guidelines and legislation.  Resident’s medicines are stored securely in the medication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administration practice complies with the medication management policy for the medication rounds sighted.  Registered nurses and senior caregivers administer medicines.  All staff administering medicines have been assessed as competent and have received medication management training.  The facility uses a robotically packed medication management system for the packaging of all tablets.  Two RNs reconcile the delivery of new medication (two-weekly cycle) and document this.  There was evidence of three-monthly reviews by the GP.  All residents self-administering their own medication had completed the required competency assessments.  Standing orders are not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oversees the food services and is supported by kitchen staff on duty each day.  The national menus have been audited and approved by an external dietitian.  The main meal is at lunchtime.  All baking and meals are cooked on-site in the main kitchen.  Meals are delivered in insulated hot boxes to each kitchenette where they are served.  The chef receives dietary information for new residents and is notified of any dietary changes, weight loss or other dietary requirements.  Food allergies and dislikes are listed in the kitchen.  Special diets such as diabetic desserts, cultural food choices, vegetarian, pureed and alternative choices for dislikes are accommodated. Residents interviewed reported that they were very satisfied with the menu, quality and presentation of the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there is evidence that additional nutritious snacks are available over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on each meal daily.  Serving temperatures from bain-marie are monitored.  Temperatures are recorded on all chilled and frozen food deliveries.  Fridges and freezer temperatures are monitored and recorded daily.  All foods are dated in the chiller, fridges and freezers.  Dry goods are stored in dated sealed containers.  Chemicals are stored safely.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Food services staff have completed food safety education and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There is documented evidence that family members are notified of any changes to their relative’s health including (but not limited to): accident/incidents, infections, health professional visits and changes in medications.  Discussions with families and notifications are documented in the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medication stock rooms.  Wound management policies and procedures are in place.  Wound assessments, treatment and evaluations were in place for all current wounds (one ulcer, six skin tears, two boils and two surgical excisions of lesions).  There were no pressure injuries on the day of audit.  There was a range of equipment readily available to minimise pressure injury.  Chronic wounds have been linked to the long-term care plans after three weeks.  There was evidence of wound nurse specialist involvement in the management of a chronic wound (ulcer).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short-term changes in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vital signs, blood glucose, pain, challenging behaviour, wounds, restraint, continence and two-hourly repositioning.  Registered nurses review </w:t>
              <w:br/>
              <w:t>the monitoring charts and report identified concerns to the GP or nurse specialist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staff provide an activities programme over five days each week. The activity plan is reviewed by a contracted part-time occupational therapist.  There are three activity staff employed. One has a degree in social work and one is a qualified diversional therapist. The third activity coordinator (newly employed) has enrolled to complete the required dementia education modules. There are activities planned for the weekend that are delivered by caregivers.  Caregivers in the dementia unit have been orientated to activities and deliver the planned programme over the weekend.  The programme is planned monthly and residents receive a personal copy of planned monthly activities.  Activities planned for the day were displayed on noticeboards around the facility.  An activity plan is developed for each individual resident, based on assessed needs.  A 24-hour activity plan was not evidenced to be developed for all residents in the dementia unit.   Residents were encouraged to join in activities that were appropriate and meaningful and were encouraged to participate in community activities.  A music therapist visits the facility and was observed interacting with the residents in the dementia unit on the days of audit.  The service has a van that is used for resident outings.  Residents in all areas were observed participating in activities on the days of audit.  Resident meetings and surveys provided a forum for feedback relating to activities.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updated as resident’s care requirements changed.  Care plan evaluations reviewed were comprehensive, related to each aspect of the care plan and recorded the degree of achievement of goals and interventions.  Resident reassessments have been completed using interRAI for all residents who have had a significant change in health status.  Short-term care plans sighted were evaluated and resolved or added to the long-term care plan.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certificate is posted at the entrance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to have a call bell placed within reach or a sensor mat was in place (where required). Residents who required the use of a call bell and sensor mat were observed to have a dual adapter in place which can accommodate the use of both call methods. The service conducted a call bell audit in September 2016 which evidences compliance. This previous audit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Staff are well informed about infection control practises and reporting. Standardised definitions are used for the identification and classification of infection events.  A registered nurse is the infection control coordinator and is responsible for infection control across the facility. Results of surveillance are acted upon, evaluated and reported to relevant personnel at the various meetings.  The service benchmarks infection control data against other villages within the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 and nursing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At the time of the audit, the service had one resident using an enabler and five residents requiring the use of a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85"/>
        <w:gridCol w:w="1280"/>
        <w:gridCol w:w="8011"/>
        <w:gridCol w:w="1059"/>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reflects the residents’ cognitive and physical abilities.  Group activities reflect ordinary patterns of life and include planned visits to the community.   Residents and families interviewed commented positively on the activity programme. During the audit, residents in the rest home, hospital and dementia unit were observed participating in quizzes, crafts and musical entertainment.  Rest home and hospital files reviewed evidenced a detailed 24-hour activity plan had been completed. However, these were not evidenced to be completed in the two dementia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dementia files reviewed did not contain a 24-hour activity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in the dementia unit have a 24-hour activity plan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57"/>
        <w:gridCol w:w="1280"/>
        <w:gridCol w:w="5605"/>
        <w:gridCol w:w="54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initiatives implemented include links with Massey University to promote evidenced based practice, with a research partnership, investigating opportunities to enhance the induction programme and education for the facility’s culturally diverse staff. The service identified that for 75% of staff employed at Village at the Park, English was not their first language.  The service contracted an external company to deliver education on literacy and numeracy to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improved outcomes evidenced from quality initiatives implemented around staff induction and education on literacy and numeracy included: a 25% reduction in incidents in the work place, a 20% increase in staff attendance at staff meetings, exits from the service decreased from 56% in 2014/15 to 18% in 2016, a 50% increase (proactive role) in hazard reporting through increased awareness and improved compliance with internal audit outcomes.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Village at The Park Care Limited</w:t>
    </w:r>
    <w:bookmarkEnd w:id="58"/>
    <w:r>
      <w:rPr>
        <w:rFonts w:cs="Arial"/>
        <w:sz w:val="16"/>
        <w:szCs w:val="20"/>
      </w:rPr>
      <w:tab/>
      <w:t xml:space="preserve">Date of Audit: </w:t>
    </w:r>
    <w:bookmarkStart w:id="59" w:name="AuditStartDate1"/>
    <w:r>
      <w:rPr>
        <w:rFonts w:cs="Arial"/>
        <w:sz w:val="16"/>
        <w:szCs w:val="20"/>
      </w:rPr>
      <w:t>9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