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Lifecare Funds Limited - Kolmar Lodge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Lifecare Funds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Kolmar Lodge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March 2017</w:t>
      </w:r>
      <w:bookmarkEnd w:id="7"/>
      <w:r w:rsidRPr="009418D4">
        <w:rPr>
          <w:rFonts w:cs="Arial"/>
        </w:rPr>
        <w:tab/>
        <w:t xml:space="preserve">End date: </w:t>
      </w:r>
      <w:bookmarkStart w:id="8" w:name="AuditEndDate"/>
      <w:r w:rsidR="00A4268A">
        <w:rPr>
          <w:rFonts w:cs="Arial"/>
        </w:rPr>
        <w:t>15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Kolmar Lodge Rest Home is one of three facilities privately owned and operated by the current owner/directors.  The service provides rest home level of care for up to 26 residents.  On the day of the audit there were 20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The owner/directors are supported by a manager, assistant manager, two registered nurses and a stable workforce.  Residents and family interviewed were complimentary of the service and care they receive.</w:t>
      </w:r>
    </w:p>
    <w:p w:rsidRPr="00A4268A">
      <w:pPr>
        <w:spacing w:before="240" w:line="276" w:lineRule="auto"/>
        <w:rPr>
          <w:rFonts w:eastAsia="Calibri"/>
        </w:rPr>
      </w:pPr>
      <w:r w:rsidRPr="00A4268A">
        <w:rPr>
          <w:rFonts w:eastAsia="Calibri"/>
        </w:rPr>
        <w:t xml:space="preserve">Two previous findings at certification audit around the admission agreement and ‘as required’ medications have been addressed.   </w:t>
      </w:r>
    </w:p>
    <w:p w:rsidRPr="00A4268A">
      <w:pPr>
        <w:spacing w:before="240" w:line="276" w:lineRule="auto"/>
        <w:rPr>
          <w:rFonts w:eastAsia="Calibri"/>
        </w:rPr>
      </w:pPr>
      <w:r w:rsidRPr="00A4268A">
        <w:rPr>
          <w:rFonts w:eastAsia="Calibri"/>
        </w:rPr>
        <w:t xml:space="preserve">There were no areas for improvement at this surveillance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Accidents, incidents and complaints alert staff to their responsibility to notify family/next of kin of any event that occurs and family state that they are fully informed at all times.  Three-monthly resident/relative meetings provide a forum to discuss any issues or concerns.  The complaints procedure is provided to residents and relatives as part of the admission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Kolmar Lodge has an implemented quality and risk management system.  Key aspects of the quality improvement and risk management programme include: monitoring of incidents and accidents, health and safety, implementation of an internal audit schedule and surveillance of infections.  There is an annual family satisfaction survey.  The service has policies and procedures that are reviewed by an external consultant.  The service has human resources procedures for staff recruitment and employment.  There is an implemented orientation programme and an implemented annual training schedule in place.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is responsible for each stage of service provision.  A registered nurse assesses and reviews each resident’s needs, outcomes and goals at least six-monthly.  The interRAI assessment tool has been fully embedded.  Care plans demonstrated service integration and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carers responsible for administration of medication complete annual education and medication competencies.  The medicine charts had been reviewed by the general practitioner at least three-monthly.  </w:t>
      </w:r>
    </w:p>
    <w:p w:rsidRPr="00A4268A" w:rsidP="00621629">
      <w:pPr>
        <w:spacing w:before="240" w:line="276" w:lineRule="auto"/>
        <w:rPr>
          <w:rFonts w:eastAsia="Calibri"/>
        </w:rPr>
      </w:pPr>
      <w:r w:rsidRPr="00A4268A">
        <w:rPr>
          <w:rFonts w:eastAsia="Calibri"/>
        </w:rPr>
        <w:t>The diversional therapist and activity coordinator implements the activity programme for the residents.  The programme includes community visitors, outings and activities that meet the individual and group recreational preferences for the residents (including residents under 65 years of age).</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All meals and baking are cooked on-site.  Food, fluid and nutritional needs of residents are provided in line with recognised nutritional guidelines.  Dislikes and special dietary requirement are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that includes comprehensive restraint procedures.  There are clear guidelines in policy, which include documented definitions of restraints and enablers that align with the definitions in the standard.  There are currently no residents requiring enablers or restraints.  Staff receive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Responsibility for infection control is shared between the nurse manager and a registered nurse.  The infection control officers have attended external education and coordinate education and training for staff.  Information obtained through surveillance is used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11"/>
        <w:gridCol w:w="1280"/>
        <w:gridCol w:w="9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how complaints are managed and is in line with requirements set by the Health and Disability Commissioner (HDC).  The complaints process is linked to the quality and risk management programme.  Complaints forms and a locked suggestions box is located at the entrance to the facility.  A record of all complaints received is maintained by the duty manager using a complaints register.  Three complaints were received in 2016 and all were followed up and resolved.  Information about complaints is provided on admission.  Interviews with residents and relatives confirmed their understanding of the complaints process.  Two caregivers interviewed were able to describe the process around reporting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around open disclosure.  Five residents interviewed stated that they were welcomed on entry and were given time and explanation about the services and procedures.  Twelve accident/incident forms for January and February 2017 were reviewed and all evidenced open disclosure.  Family are kept informed of any accident/incident unless the resident has consented otherwise.  Two family members interviewed stated they were kept informed.  Interviews with the duty manager and registered nurse (RN) confirmed family are notified following changes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Three-monthly resident/relative meetings provide a forum for residents to discuss issues or concerns on every aspect of the service.  Access to interpreter services is available if needed although have not been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Kolmar Lodge provides care for up to 26 rest home level residents and on the day of audit there were 20 residents at the facility.  It is one of three aged care facilities owned by two directors.  In addition to the Aged Related Residential Care (ARRC) contract, the facility holds a Long Term Chronic Support (LTCS) contract with the DHB.  There were two residents under the age of 65 under this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2016-2018 business plan in place that has been reviewed annually.  The plan outlines objectives for the period that includes increasing occupancy rates to 98%, staff education, ongoing maintenance plan and utilisation of the outdoor areas for activities.  A five-year development plan includes an upgrade of car park concrete, refurbishment of the main lounge, laundry and bedrooms, new indoor/outdoor furnishings and upgrade of administration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duty manager (non-clinical) reports to the directors and is supported by an assistant manager and two RNs.  The RNs have appropriate experience to meet the clinical needs of the residents.  The duty manager has been in the role for seven years and works on a full-time basis across the three facilities.  The majority of her time is at Kolmar Lodge.  She is a qualified diversional therapist and in addition to her responsibilities as duty manager, she is responsible for oversight of the activities programme at all three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duty manager has maintained at least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system is in place.  There are policies and procedures being implemented to provide assurance that the service is meeting accepted good practice and adhering to relevant standards, including those standards relating to the Health and Disability Services (Safety) Act 2001.  The content of policy and procedures are detailed to allow effective implementation by staff.  A document control system is in place to manage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and outcomes are taken to the bi-monthly integrated committee meetings and then to the bi-monthly staff/meetings.  Meeting minutes demonstrate key components of the quality management system, including internal audit, infection prevention and control, incidents (and trends) and in-service education.  Monthly accident/incident reports, infections and results of internal audits are completed.  The service has linked the complaints process with its quality management system and communicates relevant information to staff.  Meeting minutes reviewed indicate issues raised are followed through and closed out, including three-monthly resident/relative meetings.  Issues arising from internal audits are reported on the audits action sheet and were sighted to have been closed 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resident/relative satisfaction survey is completed.  There is a health and safety and risk management programme in place including policies to guide practice.  The duty manager is the health and safety officer.  Staff accidents and incidents and identified hazards are monitored.  Falls prevention strategies are in place that includes the analysis of falls incidents and the identification of interventions on a case-by-case basis to minimise future falls.  The service has lifting belts, hip protectors and access to sensor mats if necessary.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to the bi-monthly integrated committee meetings and staff meetings.  Incident forms are completed by staff who either witnessed an adverse event or were the first to respond.  The resident is reviewed by the RN at the time of event.  Twelve incident forms were reviewed and all were completed in full.  The residents’ files reviewed demonstrated all documented accident/incident forms had the events documented on an accident/incident log, held in the front of the applicable resident’s file and in the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duty manager confirmed her awareness of the requirement to notify relevant authorities in relation to essential notifications.  There have been no reports to the DHB or HealthCert.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RN’s practising certificates were current.  All five staff files reviewed (one duty manager, one assistant manager/activities, one RN, two caregivers) had relevant documentation relating to employment.  Annual performance appraisals were completed.  The service has an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includes documented competencies and induction checklists.  Staff interviewed were able to describe the orientation process and reported new staff were adequately orientated to the service.  There is an annual education plan that is being implemented that includes selected competencies that must be completed by staff.  There is one RN trained in interRAI to complete new residents’ assessments and one RN is currently undertaking interRAI training.  There is a minimum of one care staff with a current first aid certificate on every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There is a roster that provides sufficient and appropriate coverage for the effective delivery of care and support.  Staffing is as follows: three caregivers in the morning (varying times), two during the afternoon (varying times) and one on night shift.  The duty manager works approximately 20-25 hours/per week at Kolmar Lodge and the remainder (up to 40 hours) at the other two facilities.  The RN works approximately 32 hours/week and a second RN 8 hours/week.  There is an RN on call 24/7.  The activities programme is delivered primarily by the assistant manager and caregivers.  The caregivers, residents and relatives interviewed inform there are sufficient staff on duty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Information packs are provided for families and residents prior to admission.  There is one admission agreement for both subsidised and private paying residents that includes a schedule of charges that aligns with the ARC contract.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RNs and senior caregivers who administer medications complete annual medication competencies.  Annual in-service education on medication is provided.  Medications (robotic rolls for regular medications and blister packs for ‘as required’ medications) are checked on delivery against the medication chart and any discrepancies are fed back to the pharmacy.  All medications are stored safely.  Expiry dates are checked regularly.  Standing orders are not used.  Three self-medicating residents (inhalers) have a self-medication competency completed and reviewed by the GP three-monthly.  The medications fridge temperature is monitored weekly.  Eye drops are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pharmacy generated medication charts were reviewed.  All medication charts have photo identification and an allergy status.  The GP reviews the medication charts at least three-monthly.  The administration signing sheets reviewed identified medications have been administered as prescribed.  All ‘as required’ medication have a prescribed indication for use.  The previous finding around ‘as required’ medications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home baking is prepared and cooked on-site by the cook on duty.  Both cooks have completed food safety training and updates.  There is a four-week seasonal menu which has been reviewed by a dietitian.  The chef receives dietary profiles for new residents and is informed of any changes to resident’s dietary needs.  Likes and dislikes are accommodated.  Additional or modified foods such as soft/pureed foods and vegetarian meals are provided.  Residents and family members are complimentary about the meals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in a kitchen adjacent to the dining room and served directly to the residents.  Fridge and freezer temperatures are monitored and recorded daily.  End cooked temperatures are taken and recorded.  The serving temperatures of pureed meals are recorded.  All containers of food stored in the pantry are labelled and dated.  All perishable goods are date labelled.  A cleaning schedule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on the discussion with family form in the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A wound assessment and wound care flow chart and wound evaluation notes were in place for two residents with wounds.  There were no pressure injuries.  There is access to the DHB wound nurse specialist for advice for wound management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The residents’ files include a urinary continence assessment, bowel management plan and continence products used.  Monitoring occurs for blood pressure, weight, blood glucose levels, pain monitoring charts and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stated there is adequate communal equipment available to safely provide the care required to meet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duty manager and assistant manager share the implementation of the activity programme Monday to Friday.  The company employs a qualified diversional therapist (DT) to oversee activities across the three facilities in the area.  The activity team attend regional activities workshops.  The van driver and the activity team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Group activities occur in the mornings and one-on-one activities in the afternoons    Activities provided meet the residents’ recreational preferences.  Activities are meaningful and include (but are not limited to): reading and discussions, quizzes, walks, exercises, baking and bingo.  Community visitors include monthly entertainers, weekly church services, college students, volunteers and RSA.  All festivities and birthdays are celebrated.  There are regular outings into the community including the Cossie club, swimming, Zumba classes and attending the gym.  Residents are supported to attend their own church and other community functions.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under 65 years of age have individualised activity plans that include meaningful activities for the residents around the home such as assisting with the recycling and gardening.  The residents also have visiting keyworkers to assist them to access community services and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day-care resident Monday to Friday who joins in with the rest home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activity assessment and social history is completed on admission.  Each resident has a 24 hour individual activity plan which is reviewed six-monthly.  The service receives feedback on activities through one-on-one feedback, resident’s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RNs within three weeks of admission and a long-term care plan developed.  Care plans had been evaluated six-monthly for the five residents.  Written evaluations identified if the desired goals had been met or unmet.  The GP reviews the residents at least three-monthly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16 March 2018.  There are plans to refurbish and renovate internal areas of the facility including toilet/shower areas.  Three double rooms have been cordoned off and are currently undergoing full refurbishment.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(RN) collates information obtained through surveillance to determine infection control activities and education needs in the facility.  Infection control data is discussed at integrated committee meeting and at handovers.  The service completes monthly and annual comparisons of infection rates for types of infections.  Trends are identified, analysed and preventative measures put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including definitions.  The RN is the restraint coordinator and is knowledgeable regarding this role.  During the audit, there were no residents using a restraint or an enabler.  Staff receive training around restraint minimisation and managing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Lifecare Funds Limited - Kolmar Lodge Rest Home</w:t>
    </w:r>
    <w:bookmarkEnd w:id="58"/>
    <w:r>
      <w:rPr>
        <w:rFonts w:cs="Arial"/>
        <w:sz w:val="16"/>
        <w:szCs w:val="20"/>
      </w:rPr>
      <w:tab/>
      <w:t xml:space="preserve">Date of Audit: </w:t>
    </w:r>
    <w:bookmarkStart w:id="59" w:name="AuditStartDate1"/>
    <w:r>
      <w:rPr>
        <w:rFonts w:cs="Arial"/>
        <w:sz w:val="16"/>
        <w:szCs w:val="20"/>
      </w:rPr>
      <w:t>15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