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KVTN Investments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KVTN Investments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Alexandra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March 2017</w:t>
      </w:r>
      <w:bookmarkEnd w:id="7"/>
      <w:r w:rsidRPr="009418D4">
        <w:rPr>
          <w:rFonts w:cs="Arial"/>
        </w:rPr>
        <w:tab/>
        <w:t xml:space="preserve">End date: </w:t>
      </w:r>
      <w:bookmarkStart w:id="8" w:name="AuditEndDate"/>
      <w:r w:rsidR="00A4268A">
        <w:rPr>
          <w:rFonts w:cs="Arial"/>
        </w:rPr>
        <w:t>8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Alexandra Rest Home is certified to provide rest home level care for up to 45 residents. There have been no changes to governance or management since the last certification audit. </w:t>
      </w:r>
    </w:p>
    <w:p w:rsidRPr="00A4268A">
      <w:pPr>
        <w:spacing w:before="240" w:line="276" w:lineRule="auto"/>
        <w:rPr>
          <w:rFonts w:eastAsia="Calibri"/>
        </w:rPr>
      </w:pPr>
      <w:r w:rsidRPr="00A4268A">
        <w:rPr>
          <w:rFonts w:eastAsia="Calibri"/>
        </w:rPr>
        <w:t xml:space="preserve">This surveillance audit was conducted to assess on going compliance with the Health and Disability Standards and the contract with the district health board (DHB).  The audit process included a review of policies and procedures, sampling of both resident and staff files, observations, interviews with residents, family, management, governance representatives, staff and a general practitioner (GP).  </w:t>
      </w:r>
    </w:p>
    <w:p w:rsidRPr="00A4268A">
      <w:pPr>
        <w:spacing w:before="240" w:line="276" w:lineRule="auto"/>
        <w:rPr>
          <w:rFonts w:eastAsia="Calibri"/>
        </w:rPr>
      </w:pPr>
      <w:r w:rsidRPr="00A4268A">
        <w:rPr>
          <w:rFonts w:eastAsia="Calibri"/>
        </w:rPr>
        <w:t xml:space="preserve">The previous area of non-conformance regarding self-administration of medication has been addressed. There were no areas of non-conformance identified during the audit. Continuous improvement ratings have been allocated regarding quality activities, internal audits and the corrective action process.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report that they are given sufficient information and feel informed. Management has an open door policy. Information regarding the services available is provided and resident satisfactions surveys are conducted. There is evidence that family are notified as required. The complaints process is accessible and a complaints register is maintained. There is evidence that complaints are used as an opportunity to improve.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There is a documented and implemented quality and risk management system. The required policies and procedures are documented and current. Organisational performance is monitored. Quality activities and initiatives ensure that improvements are made in a manner which demonstrates continuous improvement. Adverse events are well managed and monitored for trends. Human resource processes ensure that there are a suitable number of trained staff on duty at all times. Staff numbers are sufficient to ensure the needs of residents are met over the 24 hour period.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 term care plans are developed and evaluated in a timely manner. Interventions are sufficiently detailed to address the care needs. Short term care plans are developed when acute conditions are identified and resolutions are documented.</w:t>
      </w:r>
    </w:p>
    <w:p w:rsidRPr="00A4268A" w:rsidP="00621629">
      <w:pPr>
        <w:spacing w:before="240" w:line="276" w:lineRule="auto"/>
        <w:rPr>
          <w:rFonts w:eastAsia="Calibri"/>
        </w:rPr>
      </w:pPr>
      <w:r w:rsidRPr="00A4268A">
        <w:rPr>
          <w:rFonts w:eastAsia="Calibri"/>
        </w:rPr>
        <w:t xml:space="preserve">Planned activities are appropriate to the needs, age and culture of the residents who reported that activities are enjoyable and meaningful to them. </w:t>
      </w:r>
    </w:p>
    <w:p w:rsidRPr="00A4268A" w:rsidP="00621629">
      <w:pPr>
        <w:spacing w:before="240" w:line="276" w:lineRule="auto"/>
        <w:rPr>
          <w:rFonts w:eastAsia="Calibri"/>
        </w:rPr>
      </w:pPr>
      <w:r w:rsidRPr="00A4268A">
        <w:rPr>
          <w:rFonts w:eastAsia="Calibri"/>
        </w:rPr>
        <w:t xml:space="preserve">The medicine management system meets the required regulations and guidelines. Medication competencies are maintained. </w:t>
      </w:r>
    </w:p>
    <w:p w:rsidRPr="00A4268A" w:rsidP="00621629">
      <w:pPr>
        <w:spacing w:before="240" w:line="276" w:lineRule="auto"/>
        <w:rPr>
          <w:rFonts w:eastAsia="Calibri"/>
        </w:rPr>
      </w:pPr>
      <w:r w:rsidRPr="00A4268A">
        <w:rPr>
          <w:rFonts w:eastAsia="Calibri"/>
        </w:rPr>
        <w:t>Food services meet food safety guidelines and legislation. The individual food, fluids and nutritional needs of the residents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there have been no changes to the facility since the last certification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identify the safe use of restraints and enablers. There were no restraints or enablers in use at the time of the audit. All staff receive training on the use of restraints and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surveillance activities are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8"/>
        <w:gridCol w:w="1280"/>
        <w:gridCol w:w="96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The owner/manager is responsible for the management of complaints. A complaints register is maintained. There have been two formal complaints since the last audit. Complaint records sampled confirmed that these were well management and linked to the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are advised on entry to the facility of the complaint processes and the Code. The complaints process is readily accessible and/or displayed. Residents and family members interviewed were aware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Ministry of Health, Health and Disability Commissioner or District Health Board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open and transparent communication between residents/relatives, staff and management. A review of adverse events confirmed timely and open communication with residents/family members.  Communication with family members is recorded in the progress notes. Family members expressed satisfaction with how well they were kept informed about any change to the resident’s condition and their involvement in resident care planning. Resident meetings are held three monthly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advised that interpreter services are able to be accessed from the interpreter services, if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the two owners/managers.  An organisational chart shows the responsibilities of each owner/manager along with reporting lines for key positions. The facility managers maintain the required knowledge and education and are members of the New Zealand Aged Care Association. Management is supported by the care manager who is an experienced registered nurse. The care manager was appointed in 2016 and the required notification was made to the Ministry of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business plan includes strengths and weaknesses analysis, the purpose, scope, direction and goals. Goals are documented in measurable terms.  There are also documented values, mission statement and a philosophy of care.   </w:t>
            </w:r>
          </w:p>
          <w:p w:rsidR="00EB7645" w:rsidRPr="00BE00C7" w:rsidP="00BE00C7">
            <w:pPr>
              <w:pStyle w:val="OutcomeDescription"/>
              <w:spacing w:before="120" w:after="120"/>
              <w:rPr>
                <w:rFonts w:cs="Arial"/>
                <w:b w:val="0"/>
                <w:lang w:eastAsia="en-NZ"/>
              </w:rPr>
            </w:pPr>
            <w:r w:rsidRPr="00BE00C7">
              <w:rPr>
                <w:rFonts w:cs="Arial"/>
                <w:b w:val="0"/>
                <w:lang w:eastAsia="en-NZ"/>
              </w:rPr>
              <w:t>There were 41 residents assessed as requiring rest home level care on the day of the audit. KVTN Investments Limited has contracts with the district health board to provide aged related residential care (rest home); long term support – chronic health conditions and short term residential care. There was one resident under the aged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The required policies and procedures are documented and reviewed as required. Procedures are controlled and reflect current best practice and legislative requirements. Master copies are maintained and obsolete documents are removed from circulation.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 performance is monitored through a combination of quality activities, initiatives and reports. The internal audit programme provides management with confidence of ongoing compliance and quality improvements are evaluated in a continuous improvement model. Resident and family satisfaction surveys indicate that residents and families are highly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discussed at monthly quality assurance meetings. Records of meetings sampled confirmed discussions and analysis of trends, including clinical indicators. There is a designated quality assurance officer.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documented. This covers the scope of the organisation and is reviewed as required. A health and safety programme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documented as per policy requirements. Accident and incident forms are reviewed by the facility managers and care manager and signed off when completed. Corrective action plans to address areas requiring improvement are documented. The care manager and registered nurse undertake assessments of residents following an accident and immediate actions are implemented as required.   Staff confirmed they are made aware of their responsibilities for completion of adverse events and the owner/manager is aware of essential notification requirements. The quality coordinator collates all incidents and accidents and provides the quality assurance team with detailed reports. </w:t>
            </w:r>
          </w:p>
          <w:p w:rsidR="00EB7645" w:rsidRPr="00BE00C7" w:rsidP="00BE00C7">
            <w:pPr>
              <w:pStyle w:val="OutcomeDescription"/>
              <w:spacing w:before="120" w:after="120"/>
              <w:rPr>
                <w:rFonts w:cs="Arial"/>
                <w:b w:val="0"/>
                <w:lang w:eastAsia="en-NZ"/>
              </w:rPr>
            </w:pPr>
            <w:r w:rsidRPr="00BE00C7">
              <w:rPr>
                <w:rFonts w:cs="Arial"/>
                <w:b w:val="0"/>
                <w:lang w:eastAsia="en-NZ"/>
              </w:rPr>
              <w:t>Records of adverse events sampled confirmed open disclosure and communication with family and GP as required. Progress notes provided full details of immediate actions and follows 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human resources are in line with good employment practice. The skills and knowledge required for each position is documented in position descriptions which outline accountability, responsibilities and authority. These were sighted on staff files along with employment agreements, reference checks, and police vetting and completed orientations. Current copies of annual practising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owners/managers and the care manager are responsible for the in-service education programme. The education planner for 2016-2017 was sighted and includes the required topics as per the contract with the DHB. The organisation has an agreement with another aged care provider for the provision of ongoing education.  Individual staff attendance records are maintained. Competency assessment questionnaires are current for medication management and restraint. The care manager and RN have the required interRAI training and competencies. All care staff have either completed or commenced the New Zealand Qualifications Authority approved aged care education modules.  </w:t>
            </w:r>
          </w:p>
          <w:p w:rsidR="00EB7645" w:rsidRPr="00BE00C7" w:rsidP="00BE00C7">
            <w:pPr>
              <w:pStyle w:val="OutcomeDescription"/>
              <w:spacing w:before="120" w:after="120"/>
              <w:rPr>
                <w:rFonts w:cs="Arial"/>
                <w:b w:val="0"/>
                <w:lang w:eastAsia="en-NZ"/>
              </w:rPr>
            </w:pPr>
            <w:r w:rsidRPr="00BE00C7">
              <w:rPr>
                <w:rFonts w:cs="Arial"/>
                <w:b w:val="0"/>
                <w:lang w:eastAsia="en-NZ"/>
              </w:rPr>
              <w:t>A performance appraisal schedule is in place and current staff appraisals were sighted in the staff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There is a register nurse on duty seven days per week. On call support after hours is provided by the facility managers (for non-clinical support), the care manager and the registered nurse. The minimum number of care staff on duty is during the night and consists of two caregivers. The roster was sampled and confirms that shifts are covered in the event of staff absence. There is a staff member with a current first aid certificate on each duty. Residents and family reported staff are available when they need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implemented that complies with current legislative requirements and safe practice guidelines. Allergies and indications are documented as well as necessary identifiers. Medication records are reviewed every three months. Weekly and six monthly controlled drugs stocktakes are conducted. The controlled drugs register was correct and current. A system is in place in returning expired or unwanted medications to the pharmacy. All medications are securely stored.</w:t>
            </w:r>
          </w:p>
          <w:p w:rsidR="00EB7645" w:rsidRPr="00BE00C7" w:rsidP="00BE00C7">
            <w:pPr>
              <w:pStyle w:val="OutcomeDescription"/>
              <w:spacing w:before="120" w:after="120"/>
              <w:rPr>
                <w:rFonts w:cs="Arial"/>
                <w:b w:val="0"/>
                <w:lang w:eastAsia="en-NZ"/>
              </w:rPr>
            </w:pPr>
            <w:r w:rsidRPr="00BE00C7">
              <w:rPr>
                <w:rFonts w:cs="Arial"/>
                <w:b w:val="0"/>
                <w:lang w:eastAsia="en-NZ"/>
              </w:rPr>
              <w:t>Administration of medication was observed and confirmed safety and competency. Medication competencies are maintained. Administration records are maintained and were accurate.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self-administers their medication. A system is in place to ensure safe storage and compliance in relation to self-administration of medications. Self-medication evaluations are completed monthly. </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for improvement regarding self-administration has been fully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Cooked meals are transported from the kitchen to the main dining area via the lift. Meals are plated from the bain marie in the dining area while meals for the residents in the rooms are served on trays. The menu is reviewed by a dietician every two years.</w:t>
            </w:r>
          </w:p>
          <w:p w:rsidR="00EB7645" w:rsidRPr="00BE00C7" w:rsidP="00BE00C7">
            <w:pPr>
              <w:pStyle w:val="OutcomeDescription"/>
              <w:spacing w:before="120" w:after="120"/>
              <w:rPr>
                <w:rFonts w:cs="Arial"/>
                <w:b w:val="0"/>
                <w:lang w:eastAsia="en-NZ"/>
              </w:rPr>
            </w:pPr>
            <w:r w:rsidRPr="00BE00C7">
              <w:rPr>
                <w:rFonts w:cs="Arial"/>
                <w:b w:val="0"/>
                <w:lang w:eastAsia="en-NZ"/>
              </w:rPr>
              <w:t>Food services policies and procedures include principles of food safety, ordering, storage, cooking, reheating and food handling. A system is in place when receiving and utilising kitchen supplies. Staff working in the kitchen have current food handling certificates. A kitchen cleaning schedule is implemented. Fridge and food temperatures are recorded daily.</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Dietary requirement forms are completed on admission and a copy is provided to the kitchen. Modified foods are provided as required. The meals are well-presented and the residents reported that they are provided with an alternative meal on request. Residents are weighed routinely. Those with weight decreases are provided with food supplements or fortified meals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lifestyle plans are developed by either the care manager or registered nurse who are both interRAI assessors. Interventions are sufficiently detailed to address the desired goals/outcomes. Documented interventions are practical and staff reported that care plans are easy to follow. Monitoring forms are in use as applicable, such as weight, vital signs, wounds and behaviour. Wound assessment, monitoring and wound management plans are in place as required. The care manager has access to specialist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appropriate to the needs, age and culture of the residents. Activities are developed by the activities coordinator. Activities are developed using the residents’ profiles gathered during interview with the residents and their families. Weekly activities are posted in the common areas. Activity plans reflect the residents’ preferred activities and previous interests. A participation log is maintained and residents are referred to the care manager if changes in participation are noted. Interviewed residents and family members reported that activities are physically and mentally stimulating.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plan for the younger person with a disability includes physical, mental and social aspects relevant to their needs. A carer was organised by the family for regular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lifestyle plans, as well as, short term care plans are evaluated in a comprehensive and timely manner. Evaluations consider the residents’ degree of achievement towards meeting the desired goals/outcomes. The resident’s response to their treatment regime within the short term care plans is documented. Changes in the interventions in both long and short term care plans are made when goals are not achieved. Resolutions are documented in the short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Trial evacuations are conducted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on infections is collated monthly and analysed to identify any significant trends or possible causative factors.  Incidents of infections are presented at the quality assurance meetings and staff meetings.  The necessary corrective actions are discussed.  Incidents of infections are graphed and on display in the staff room.  A comparison of previous infection rates is used to analyse the effectiveness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utilised as a last resort in providing safety and comfort to the residents. There were no residents using a restraint or enabler at the time of the audit. Restraint minimisation and safe practice policies and procedures are in place, including clear definitions of restraints and enablers. Interviewed staff demonstrated good knowledge regarding restraints and enablers. All staff receive training on the use of de-escalation techniques.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0"/>
        <w:gridCol w:w="1280"/>
        <w:gridCol w:w="9051"/>
        <w:gridCol w:w="17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a number of continuous quality improvement projects implemented. These have been implemented using the continuous quality improvement cycle. One project was implemented to reduce the number of falls. Data on falls was captured by ‘type’ and measured using a national benchmark. The programme commenced in April 2015 and was implemented over 18 months. Key staff attended national workshops and shared their knowledge, more internal education programmes were conducted, a working group and exercise class was commenced, additional equipment was purchased (landing mats and high low beds) and signage was improved. Quantitative data on falls over this period was fully analysed and measured in bed days.  An evaluation was conducted. The total number of falls, and falls with harm, has reduced.</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practices quality improvement project was implemented in response to changes in legislation. This project was implemented over a four month period and has resulted in improved use of the adverse event process and improvement in staff education and understanding. An evaluation of the project was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Catheter procedures were improved with an initiative which commenced June 2016 and was evaluated in December 2016.  Improvements were made to staff education and recording requirements.  Over a three month period the use of the new process was monitored.  Recent data confirms that residents are staying dryer and not having to be changed so frequently. Feedback from family/support people is that these residents have had a better quality of life due to an effective catheterisation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who have English as a second language has been improved. The new initiative commenced in August 2016 and was evaluated in December 2016. Qualitative data suggests that the new process has improved competency and confidence of new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initiatives have resulted in continuous improvements and improved outcomes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2016 – 2017 were sampled. Clinical indicators and quality improvement data was recorded on various registers and forms.  Quality improvement data provided evidence that data is being collected, collated, and comprehensively analysed to identify trends and corrective actions developed and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internal audit process is implemented in a manner that demonstrates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 1.2.3.6 and 1.2.3.7.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corrective action process is linked to the quality and risk management system and demonstrates continuous improvement and improved outcomes for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KVTN Investments Limited</w:t>
    </w:r>
    <w:bookmarkEnd w:id="58"/>
    <w:r>
      <w:rPr>
        <w:rFonts w:cs="Arial"/>
        <w:sz w:val="16"/>
        <w:szCs w:val="20"/>
      </w:rPr>
      <w:tab/>
      <w:t xml:space="preserve">Date of Audit: </w:t>
    </w:r>
    <w:bookmarkStart w:id="59" w:name="AuditStartDate1"/>
    <w:r>
      <w:rPr>
        <w:rFonts w:cs="Arial"/>
        <w:sz w:val="16"/>
        <w:szCs w:val="20"/>
      </w:rPr>
      <w:t>8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