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Pinehaven Cottage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Pinehaven Cottage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Pinehaven Cottage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February 2017</w:t>
      </w:r>
      <w:bookmarkEnd w:id="7"/>
      <w:r w:rsidRPr="009418D4">
        <w:rPr>
          <w:rFonts w:cs="Arial"/>
        </w:rPr>
        <w:tab/>
        <w:t xml:space="preserve">End date: </w:t>
      </w:r>
      <w:bookmarkStart w:id="8" w:name="AuditEndDate"/>
      <w:r w:rsidR="00A4268A">
        <w:rPr>
          <w:rFonts w:cs="Arial"/>
        </w:rPr>
        <w:t>24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Pinehaven Cottage Limited is an aged care facility that provides rest home and secure dementia care for up to 34 residents.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Services Standards for aged care and the service’s contract with the district health board. The audit process included the review of documentation, observations and interviews. The audit report is an evaluation of the combined evidence on how the service meets each of the standards. </w:t>
      </w:r>
    </w:p>
    <w:p w:rsidRPr="00A4268A">
      <w:pPr>
        <w:spacing w:before="240" w:line="276" w:lineRule="auto"/>
        <w:rPr>
          <w:rFonts w:eastAsia="Calibri"/>
        </w:rPr>
      </w:pPr>
      <w:r w:rsidRPr="00A4268A">
        <w:rPr>
          <w:rFonts w:eastAsia="Calibri"/>
        </w:rPr>
        <w:t xml:space="preserve">There were five areas requiring improvement from the previous partial provisional audit that needed to be implemented prior to the opening of the dementia unit. These were closed off by the DHB prior to occupancy of the unit. There was one area for improvement related to annual performance reviews from the last certification audit, this has now been addressed.   </w:t>
      </w:r>
    </w:p>
    <w:p w:rsidRPr="00A4268A">
      <w:pPr>
        <w:spacing w:before="240" w:line="276" w:lineRule="auto"/>
        <w:rPr>
          <w:rFonts w:eastAsia="Calibri"/>
        </w:rPr>
      </w:pPr>
      <w:r w:rsidRPr="00A4268A">
        <w:rPr>
          <w:rFonts w:eastAsia="Calibri"/>
        </w:rPr>
        <w:t xml:space="preserve">From this surveillance audit there are three new areas requiring improvements related to timeframes for assessment and care planning, the documented activities plan in the dementia unit,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was evidence that staff communicate effectively with residents and provide an environment conducive to good communication. There are processes in place to access interpreting services when this is required.</w:t>
      </w:r>
    </w:p>
    <w:p w:rsidRPr="00A4268A">
      <w:pPr>
        <w:spacing w:before="240" w:line="276" w:lineRule="auto"/>
        <w:rPr>
          <w:rFonts w:eastAsia="Calibri"/>
        </w:rPr>
      </w:pPr>
      <w:r w:rsidRPr="00A4268A">
        <w:rPr>
          <w:rFonts w:eastAsia="Calibri"/>
        </w:rPr>
        <w:t>The service has an easy to use complaints management system. There is a complaint register that contains any complaint received and actions taken to address any shortfalls.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Organisational structures and processes are monitored at organisational level. Service performance is aligned with the organisation`s philosophy and goals identified in the quality and risk plan.</w:t>
      </w:r>
    </w:p>
    <w:p w:rsidRPr="00A4268A">
      <w:pPr>
        <w:spacing w:before="240" w:line="276" w:lineRule="auto"/>
        <w:rPr>
          <w:rFonts w:eastAsia="Calibri"/>
        </w:rPr>
      </w:pPr>
      <w:r w:rsidRPr="00A4268A">
        <w:rPr>
          <w:rFonts w:eastAsia="Calibri"/>
        </w:rPr>
        <w:t xml:space="preserve">The service is managed by a suitably qualified and experienced enrolled nurse. The manager is support by a management team (owners) who have a mix of clinical and non-clinical experiences. There are registered nurses on duty seven days a week. </w:t>
      </w:r>
    </w:p>
    <w:p w:rsidRPr="00A4268A">
      <w:pPr>
        <w:spacing w:before="240" w:line="276" w:lineRule="auto"/>
        <w:rPr>
          <w:rFonts w:eastAsia="Calibri"/>
        </w:rPr>
      </w:pPr>
      <w:r w:rsidRPr="00A4268A">
        <w:rPr>
          <w:rFonts w:eastAsia="Calibri"/>
        </w:rPr>
        <w:t>The service has a documented quality and risk management system that supports the provision of clinical care and support. Policies are regularly reviewed by the management team/quality team. The quality and risk performance data is reviewed and reported through the quality meetings. Review at the quality meetings includes incidents/accidents, infections, complaints and reports from the internal audit programme.</w:t>
      </w:r>
    </w:p>
    <w:p w:rsidRPr="00A4268A">
      <w:pPr>
        <w:spacing w:before="240" w:line="276" w:lineRule="auto"/>
        <w:rPr>
          <w:rFonts w:eastAsia="Calibri"/>
        </w:rPr>
      </w:pPr>
      <w:r w:rsidRPr="00A4268A">
        <w:rPr>
          <w:rFonts w:eastAsia="Calibri"/>
        </w:rPr>
        <w:t>The adverse event reporting system is planned and coordinated with staff documenting and reporting adverse, unplanned or untoward events.</w:t>
      </w:r>
    </w:p>
    <w:p w:rsidRPr="00A4268A">
      <w:pPr>
        <w:spacing w:before="240" w:line="276" w:lineRule="auto"/>
        <w:rPr>
          <w:rFonts w:eastAsia="Calibri"/>
        </w:rPr>
      </w:pPr>
      <w:r w:rsidRPr="00A4268A">
        <w:rPr>
          <w:rFonts w:eastAsia="Calibri"/>
        </w:rPr>
        <w:t xml:space="preserve">Systems for human resources management are established and implemented. The education programme for all staff is available and planned for the year. The required training for staff who work in the dementia unit is provided. There is sufficient staff numbers and skill mix the meet the needs of the residents in the rest home and dementia unit.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a team approach to care delivery. The care plans reviewed described the required support and interventions consistent with residents’ assessed needs. The long term and short term care plans are evaluated at least six monthly, or sooner if there is a change in the resident’s needs. Where progress is different from expected, the service responds by initiating changes to the care plan or with the use of short term care plans.</w:t>
      </w:r>
    </w:p>
    <w:p w:rsidRPr="00A4268A" w:rsidP="00621629">
      <w:pPr>
        <w:spacing w:before="240" w:line="276" w:lineRule="auto"/>
        <w:rPr>
          <w:rFonts w:eastAsia="Calibri"/>
        </w:rPr>
      </w:pPr>
      <w:r w:rsidRPr="00A4268A">
        <w:rPr>
          <w:rFonts w:eastAsia="Calibri"/>
        </w:rPr>
        <w:t xml:space="preserve">An activities programme is managed and implemented by providing a variety of group and individual activities to meet the interests of residents. There are activities staff for the rest home and secure dementia unit. </w:t>
      </w:r>
    </w:p>
    <w:p w:rsidRPr="00A4268A" w:rsidP="00621629">
      <w:pPr>
        <w:spacing w:before="240" w:line="276" w:lineRule="auto"/>
        <w:rPr>
          <w:rFonts w:eastAsia="Calibri"/>
        </w:rPr>
      </w:pPr>
      <w:r w:rsidRPr="00A4268A">
        <w:rPr>
          <w:rFonts w:eastAsia="Calibri"/>
        </w:rPr>
        <w:t xml:space="preserve">Staff who assist in medication management are assessed as competent to perform their roles. </w:t>
      </w:r>
    </w:p>
    <w:p w:rsidRPr="00A4268A" w:rsidP="00621629">
      <w:pPr>
        <w:spacing w:before="240" w:line="276" w:lineRule="auto"/>
        <w:rPr>
          <w:rFonts w:eastAsia="Calibri"/>
        </w:rPr>
      </w:pPr>
      <w:r w:rsidRPr="00A4268A">
        <w:rPr>
          <w:rFonts w:eastAsia="Calibri"/>
        </w:rPr>
        <w:t>The menu has been reviewed by a registered dietitian as suitable for the older person living in long term care. Snacks are available 24 hours a day. There were no negative comments made during interviews related to food.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approved evacuation scheme. There have been no changes to the layout of the building, since the opening of the secure dementia unit.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operates a restraint free environment and has no recorded restraint. Any enabler use is documented as being voluntary and the least restrictive option to maintain resident safety, comfort or independence. Clear definitions in the policies and ongoing education ensures staff understand the implication of restraint and enabler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collates the monthly surveillance data and this is reviewed and analysed for trends, with any identified actions to be implemented reported. The infection surveillance results are reported at handover and staff meetings.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9"/>
        <w:gridCol w:w="1280"/>
        <w:gridCol w:w="98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sighted identified the required procedures. Complaints are dealt with in a professional manner with consideration to any cultural or other values. Complaints are actively managed in a timely manner and in accordance with the complaints policy, and any other statutory requirements relevant to the specific situation.</w:t>
            </w:r>
          </w:p>
          <w:p w:rsidR="00EB7645" w:rsidRPr="00BE00C7" w:rsidP="00BE00C7">
            <w:pPr>
              <w:pStyle w:val="OutcomeDescription"/>
              <w:spacing w:before="120" w:after="120"/>
              <w:rPr>
                <w:rFonts w:cs="Arial"/>
                <w:b w:val="0"/>
                <w:lang w:eastAsia="en-NZ"/>
              </w:rPr>
            </w:pPr>
            <w:r w:rsidRPr="00BE00C7">
              <w:rPr>
                <w:rFonts w:cs="Arial"/>
                <w:b w:val="0"/>
                <w:lang w:eastAsia="en-NZ"/>
              </w:rPr>
              <w:t>Complaints management information is included in resident information packs given on admission, and as confirmed by the nurse manager, the process was discussed with family/whanau and residents as part of the admission process. Complaints forms are accessible to staff, residents and family as required. The complaints register records the complaints, dates and actions taken. The complaints sampled were resolved within times frames outlined in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their understanding of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policy related to the use of interpreter services, as required. Staff education related to appropriate communication methods has been conducted. Staff reported that they understand the process for accessing interpreter services.  All residents have English as their first language, with appropriate communication strategies implemented for the residents with cognitive impairment. Staff confirmed there are no issues with communicating with the resident.</w:t>
            </w:r>
          </w:p>
          <w:p w:rsidR="00EB7645" w:rsidRPr="00BE00C7" w:rsidP="00BE00C7">
            <w:pPr>
              <w:pStyle w:val="OutcomeDescription"/>
              <w:spacing w:before="120" w:after="120"/>
              <w:rPr>
                <w:rFonts w:cs="Arial"/>
                <w:b w:val="0"/>
                <w:lang w:eastAsia="en-NZ"/>
              </w:rPr>
            </w:pPr>
            <w:r w:rsidRPr="00BE00C7">
              <w:rPr>
                <w:rFonts w:cs="Arial"/>
                <w:b w:val="0"/>
                <w:lang w:eastAsia="en-NZ"/>
              </w:rPr>
              <w:t>The family/whānau members interviewed confirmed they are kept informed of the resident's status, including any events adversely affecting the resident. Evidence of open disclosure was documented in each resident’s file through the family communication sheet, on the accident/incident forms and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licensed to provide care for up to 17 rest home residents and 17 residents in the secure dementia unit. At the time of audit there were 13 dementia level of care residents and 16 in the rest home (including one person under the age of 65). Services are provided to meet the individual needs of the each of the residents. The services aim to maintain or restore maximum independence for residents with their function of daily living.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quality, risk and management plan (last reviewed February 2017), contains the organisation’s mission, values and goals. There are long term and short term goals within the plan. The plan is reviewed on an annual basis, with aims and ambitions for 2017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an enrolled nurse with a current practising certificate. The manager’s job description describes their responsibilities, accountabilities and authorities. The manager has been at the service for 12 years and the manager for 10 years.  The manager is supported by the owners, who have a mix of clinical (occupational therapy), management and non-clinical experience. The facility is a member of an aged care association, and regular updates and education is received on current legislation and issues related to management of aged care services. The facility manager has attended over 8 hours of education in the past 12 months related to management in the aged care sector. The service has registered nurse (RN) support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and residents confirmed they are satisfied with the services provided. Families comment the owners and manager are approachable and listen and act on any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plan details the risks, current controls and ongoing actions required to provide safe and appropriate care. The quality and risk systems are monitored through the quality meetings. Each of the quality goals and ambitions for 2017 cover all aspects of care and service delivery. Staff are actively involved in the quality programme and demonstrated an understanding of what the organisation aims to achieve. The outcomes of the internal auditing and quality management systems are discussed at the staff meetings. Staff confirmed they understood and implement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are developed by an external aged care consultant. All policies and procedures sighted were up to date, reflected current good practice and met legislative requirements. The organisation currently reviews all documents in a two yearly cycle, or more frequently if there is best practice or legislative changes. All documents have a version control footer that includes the date when the policy was last reviewed. The document control system ensures that obsolete documents were removed from use. The review of policies or any updates are distributed to staff to read and they sign that they have understood any changes. Recent policy updates include the implementation of the interRAI assessment and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had a documented quality and risk management plan which identified risks and showed the strategies in place to manage risks. All potential and actual risks are reported at board level and reviewed regularly. Clinical risks are discussed at staff meetings as confirmed in meeting minutes sighted and confirmed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collection and analysis is maintained by the service and evaluation of results shared with staff and management. Quality improvements are put in place where indicated. The internal audit form records the identified issue, actions needed, who is to implement the actions and the review of when the actions have been implemented. Staff confirmed that all follow up actions were discussed during handover and at regular staff meetings. Data is collected, trended, reviewed and evaluated for all key components of service (complaints, incidents and accidents, health and safety, hazards, restraint and infection control). The graphs and analysis of the quality data is displayed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The risk, hazard and emergency response plan identifies potential and actual hazards. The plan includes what the hazard is, risk level, preventative actions and ways to minimise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understands their obligations for reporting serious harm and essential notifications. There have been no incidents or accidents that have required essential notification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of when they are required to complete an incident/accident form. There is a monthly analysis of the incident and accident reports. The analysis of the incidents and accidents are used to implement improvements as indicated. The analysis includes the numbers of falls and the times that falls are occurring for residents who have had increased falls, with strategies implemented to reduce the number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and annual practising certificates (APCs) are validated on employment and annually. The service maintains a folder of current APCs which was sighted for all staff and contractors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evidence that the appropriate employment processes are implemented, such as recruitment, interview and reference checking. After the orientation period there is a performance review conducted annually, as confirmed in the staff files reviewed. The manager has had a performance appraisal conducted within the past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orientation and induction programme all new staff complete, then role specific orientation for the different roles within the services. The initial general orientation includes the essential and emergency systems, handling concerns and complaints, cultural best practice, infection control, incidents/accident reporting, managing challenging behaviours and restraint minimisation. Each staff file reviewed evidenced an orientation and induction into their role. Staff reported that the orientation and induction gave them a good understanding of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covers the essential components of service delivery for rest home and dementia level of care. The service also accesses ongoing education support from the DHB aged residential care programme, gerontology nurse specialists and palliative care services. The care staffing in the dementia unit meets contractual requirements for the required education related to the national unit standards for dementia care. Attendance records are kept for the education that staff have attended, as sighted in each of the staff member’s personnel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RNs that are interRAI competent.  The care staff who work in the dementia unit have either completed or commenced the required dementia specific training. The activities programme is overseen by an occupational therapist, with the other activities staff having experience in the support of residents with cognitive impairment, the activities staff are enrolled in diversional training and the management of residents with a diagnosis of dementia.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they are supported and encouraged with maintaining their knowledge and skills.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clearly documented policy on staffing levels and skill mix to meet the needs of residents requiring rest home and secure dementia level of care. There is at least one RN on duty during the day seven days a week and on call after hours. There are two caregivers, one RN and one activities staff on duty on morning shift in the dementia unit. There are at least two caregivers on site at all times and one staff member on call at all times during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one staff member on duty each shift who has current first aid qualifications. There is appropriate staffing level for activities, cooking, cleaning and laundry. Staff confirmed they have adequate time to do their required work and all staff assist in implementing meaningful activities for the residents throughout their shifts.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in place which describes the process to follow for residents who are deemed competent to self-administer medicines.  At the time of audit there are no residents who self-administer their medications, no controlled drugs and no standing orders. There are improvements required in recording the medication fridge temperature and ensuring that all medication is signed as given (or reason recorded for withholding).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liquid medicines and stock medications, such as antibiotics, medicines are supplied by the pharmacy in a pre-packed administration system for individual residents. Medications are checked for accuracy by the RN when delivered. The pre-packed medicines and the signing sheets are compared against the medicine prescription. Regular medicine reconciliation processes are documented. Safe medicine administration was observed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medicine trolley were securely stored in both the rest home and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medication files sampled had prescriptions that complied with legislation and aged care best practice guidelines. The GP has conducted medication reviews for all residents within the last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were sighted for all staff who assist with medicine management, this included the RNs and senior caregivers.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implemented cover all aspects of food preparation. Documentation identifies that safe food hygiene management practices are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menus were reviewed by a registered dietitian in 2016 (and were under review at the time of audit) as being suitable for the residents at Pinehaven Cottage facility. The cook stated that food is produced in accordance with the menus. Food and snacks are available 24 hours a day. The kitchen has the dietary information for all residents and their likes and dislikes are catered for. Residents are routinely weighed at least monthly, and more frequently when indicated. Residents with additional or modified nutritional needs or specific diets have these needs met. The residents and family/whānau reported being satisfied with the meals and fluids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 domestic kitchen, with management reporting, and the business plan confirming, that the kitchen is planned for renovation in 2017. Food, fridge and freezer recordings are undertaken daily and meet requirements. There is a documented cleaning programme implemented. Kitchen staff have completed safe food handling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or short term care plans reviewed were individualised to show interventions put in place to contribute to meeting residents’ goals. Information sighted on care plans is congruent with assessment findings. The interventions, such as meals and activities of daily living, were flexible to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family/whānau interviewed reported that the staff have excellent knowledge and care skills.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gained by an activities assessment and resident’s history assessment is used when developing the activity plan. The activities staff stated that their role was to focus on giving the residents back some independence by focusing on activities that are meaningful. There are planned activities that covered physical, social, recreational and emotional needs of the residents (though this was not clearly documented for individual residents in the dementia unit). The activities programme is an evolving and flexible plan to match weather conditions and resident’s abilities. Feedback received from the residents and family/whānau is taken into account when planning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documented at least every six months. The evaluations indicate the degree of achievement or response to the support and/or interventions put in place towards the resident meeting their desired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progress was different from expected, the service responded by initiating changes to the care plan or by use of short term care plans for temporary changes. Short term care plans were sighted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family/whānau interviewed reported high satisfaction with the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was conducted prior to completion of the dementia unit. The service still required to gain the required compliance certificates, furnish the unit, complete the fit out and complete the external access and landscaping. These were all addressed prior to occupancy of the dementia unit. A safe environment was observed at the time of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building warrant of fitness for the rest home and a code of compliance for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monitored monthly; these are within safe guidelines. Medical equipment has annual calibration; last conducted within the last year. The electrical equipment is new or test and tagged within the last 12 months. The staff conduct a monthly compliance check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promotes safe mobility, with secure hand rails in the hallways and floor surfaces that are intact and do not present a trip hazard. Each wing has access to the external areas. The dementia unit external area is separated from the rest home section of the service, though there is limited access to the external area from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reported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previous partial provisional audit, the fencing and security gating needed to be installed and the evacuations scheme required approval. These were addressed prior to occupancy of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that includes the recently addition of the secure dementia unit. The fire and emergency equipment has a monthly inspection as well as an annual certification by an external contractor. Emergency and security training is provided as part of staff orientation and ongoing in-service education. Evacuation drills are conducted six monthly. Staff demonstrated knowledge on how to respond in emergency or civil defence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bottled gas for cooking and emergency lighting in the event of mains failure. There are water tanks and bottled drinking water that is accessible in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room, toilet and bathing facility has access to a call bell. The call bell system has a light and audible alert when activated. Staff responded promptly when the call bell was tested. </w:t>
            </w:r>
          </w:p>
          <w:p w:rsidR="00EB7645" w:rsidRPr="00BE00C7" w:rsidP="00BE00C7">
            <w:pPr>
              <w:pStyle w:val="OutcomeDescription"/>
              <w:spacing w:before="120" w:after="120"/>
              <w:rPr>
                <w:rFonts w:cs="Arial"/>
                <w:b w:val="0"/>
                <w:lang w:eastAsia="en-NZ"/>
              </w:rPr>
            </w:pPr>
            <w:r w:rsidRPr="00BE00C7">
              <w:rPr>
                <w:rFonts w:cs="Arial"/>
                <w:b w:val="0"/>
                <w:lang w:eastAsia="en-NZ"/>
              </w:rPr>
              <w:t>The layout of the dementia unit allows for residents with cognitive impairment to wander freely inside and into the secured external area. A night staff member has a checklist to ensure the entrances, doors and windows are secure. After hours’ visitors are required to use the doorbell to gain access to the facility through the security gate in the driveway. This gate in the driveway has free access during the day. Staff, residents and families report satisfaction with the security arrangements.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requirements are implemented to meet policy and standard requirements for the level of care offered at Pinehaven Cottage. Monthly infection control surveillance data is collected, recorded, reviewed, and analysed, with result discussed at the quality meeting. Standardised definitions of infections, which are appropriate to the long term care setting, are used. If an unexplained increase in infection rates is noted, corrective actions are taken. All data is shared with staff, management and the owner. Staff interviewed confirmed they understand the data results presented.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residents who are assessed for enabler use (bed hoop) at the time of audit. The bed hoops do not limit the resident’s freedom of movement and assist the resident to get in and out of bed. These are used at the request of the resident. There is no restraint use in the dementia unit, with a secure environment that support the resident with cognitive impairment to wander freely and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evidence that enablers are voluntary and that the least restrictive option would be used with the intention of promoting or maintaining resident independence and safety. The policies for restraint and enabler use are part of the orientation and induction training as well as in the ongoing in-service education programme. Staff demonstrated knowledge on restraint minimisation, the strategies used to minimise restraint and what to do if restraints or enablers were required.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37"/>
        <w:gridCol w:w="1280"/>
        <w:gridCol w:w="7232"/>
        <w:gridCol w:w="1808"/>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medication fridge in the dementia unit, the temperature records were not evidenced at the time of audit. The manager and staff reported that the temperature is required to the recorded weekly, though this record was not 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Gaps where there was no signature or reason for not giving the medications were sighted in seven of the ten medication charts sampled. The signing sheet for non-pack medications for one resident did not evidence that the medication had been given for the previous three days. The reason for not giving a medication (the manager confirmed the resident had been in hospital) was not recorded for another resident. The staff member observed administration the medication at the time of audit followed the correct process for medication administration and signing that the medications had been given.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administration sheets in seven of the ten medication files sampled were not fully completed.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does not consistently document the weekly temperature recordings.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medicines management systems for administration and storage consistently meet legislation and best practice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mix of their own paper based assessment tools and the interRAI. All residents had a community interRAI, with this information used to form part of the organisation’s admission assessment process. None of the files of the residents living in the dementia unit had a long term care interRAI that was conducted at Pinehaven Cottage. The files of the residents in the rest home had interRAI assessments that were conducted more than six months prior.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was opened in November 2016. Two of the three files sampled of residents living in the dementia unit, did not have a long term care plan developed within the contractual three-week period. One of the files of a resident admitted in November 2016, still had a short term care plan and the long term care plan has not yet been developed. One other resident had their long term care plan developed two months’ post admission. One resident had a long term care plan developed within the three-week period. All six residents’ files did have sufficient detail in either the long term care plan or initial care plans to guide service provision. The residents and families all expressed high satisfactions in the interventions, skill and kindness of the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three files sampled of residents living in the dementia unit did not have long term care plans developed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files sampled of residents living in the dementia unit did not have a facility conducted interRAI, and the three files sampled in the rest home interRAI assessments have not been conducted within the past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timeframes for assessment and development of the long term care plans meet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overseen by an occupational therapist with specific dementia training, who is also an assessor for the dementia unit standards. The activities staff who work in the dementia unit have either completed or are enrolled in a national qualification related to dementia or diversional therapy. There is an activities calendar that outlines the planned activities. The three files reviewed of the residents living in the dementia unit did not have an individualised plan that outlined the resident’s needs over the 24-hour period. Activities observed on the day of audit were meeting the recreational and social needs of the residents, in the rest home and dementia unit. The activities team in the dementia unit are at the service at times to assist in diversional activities during the day and early evening (10.30 am and to 6.30pm), which staff have reported assist with minimising ‘sun downing’ and other challenging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resident’s files in the dementia unit do not have a description of the activities that meet the resident's needs in relation to individual diversional, motivational, and recreational therapy during the 24-hour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activities plan for the residents living in the dementia unit meet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Pinehaven Cottage Limited</w:t>
    </w:r>
    <w:bookmarkEnd w:id="58"/>
    <w:r>
      <w:rPr>
        <w:rFonts w:cs="Arial"/>
        <w:sz w:val="16"/>
        <w:szCs w:val="20"/>
      </w:rPr>
      <w:tab/>
      <w:t xml:space="preserve">Date of Audit: </w:t>
    </w:r>
    <w:bookmarkStart w:id="59" w:name="AuditStartDate1"/>
    <w:r>
      <w:rPr>
        <w:rFonts w:cs="Arial"/>
        <w:sz w:val="16"/>
        <w:szCs w:val="20"/>
      </w:rPr>
      <w:t>24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