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2017</w:t>
      </w:r>
      <w:bookmarkEnd w:id="7"/>
      <w:r w:rsidRPr="009418D4">
        <w:rPr>
          <w:rFonts w:cs="Arial"/>
        </w:rPr>
        <w:tab/>
        <w:t xml:space="preserve">End date: </w:t>
      </w:r>
      <w:bookmarkStart w:id="8" w:name="AuditEndDate"/>
      <w:r w:rsidR="00A4268A">
        <w:rPr>
          <w:rFonts w:cs="Arial"/>
        </w:rPr>
        <w:t>27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Three rooms in the care facility were assessed for their suitability as double rooms.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Park provides rest home and hospital level care for up to 108 residents (53 dual-purpose unit and 55 serviced apartments assessed as suitable to provide rest home level care).  During the audit there were 55 residents.  Three rooms in the care facility were assessed for their suitability as double rooms, which increase bed numbers to 111.</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 </w:t>
      </w:r>
    </w:p>
    <w:p w:rsidRPr="00A4268A">
      <w:pPr>
        <w:spacing w:before="240" w:line="276" w:lineRule="auto"/>
        <w:rPr>
          <w:rFonts w:eastAsia="Calibri"/>
        </w:rPr>
      </w:pPr>
      <w:r w:rsidRPr="00A4268A">
        <w:rPr>
          <w:rFonts w:eastAsia="Calibri"/>
        </w:rPr>
        <w:t>The nurse manager is appropriately qualified and experienced and is supported by registered nursing staff.  There are quality systems and processes established.  Feedback from the residents and families was positive about the care and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This certification audit identified that improvements are required in relation to the complaints process, communicating quality results with staff, corrective action plans, health and safety monitoring, incident/accident investigations, nursing interventions, nursing assessments, medication management, and food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strive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nurse manager is responsible for the day-to-day operations of the care facility.  Quality and risk management processes are documented but not fully implemented.  Strategic plans and quality goals are documented for the service.  Adverse, unplanned and untoward events are documented by staff.  The health and safety programme meets current legislative requirements.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The InterRAI, risk assessments tools and monitoring forms are utilised. Care plans viewed in resident records demonstrated service integration and were evaluated at least six monthly.  Resident files included medical notes by the general practitioner and visiting allied health professionals.</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enrolled nurse and team leader/senior caregiver are responsible for administration of medicines and complete annual education and medication competencies. Medication charts have photo identification and allergy status noted.  The medicine charts were reviewed at least three 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implements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food service is contracted to an external provider.  Food, fluid, and nutritional needs of residents are provided in line with recognised nutritional guidelines and additional requirements/modified needs were being met. The menu has been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All bedrooms have ensuites.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three residents using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infection control coordinator has received external training.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3"/>
        <w:gridCol w:w="1280"/>
        <w:gridCol w:w="99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care staff interviewed (two caregivers, three registered nurses (RNs), one activities coordinator)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All resident’s files reviewed contained written general consents including outings, transport, purchases and charges, and indemnity forms which were included in the admission process.  Consent forms are signed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delivering cares.  Advance directives identified the resident resuscitation status.  They were signed by the resident (if able)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members identified that the service actively involves them in decisions that affect their relative’s lives.  Eight signed admission agreements were sighted for eight long-term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HDC is included in the resident information pack that is provided to new residents and their family on admission.  Advocacy brochures are also available at reception.  Interviews with residents and family confirmed their understanding of the availability of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advocacy services.  Two complaints reviewed indicated that HDC advocacy services were involved in supporting the complainant (link 1.1.13.1).</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  Aged Concern provides staff training around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their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for lodging informal complaints (feedback) and formal complaints are readily available.  A suggestions box is held at reception.</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Eleven complaints were reviewed, ten were documented as closed but documentation indicated that only two were resolved.  Evidence was sighted to confirm that each complaint had been managed in a timely manner including acknowledgement, and an investigation.  One complaint lodged with HDC remains open pending further investigation by HDC.  There is also one coroner’s inquest that is open.  Information requested by the coroner has been forwarded and the facility is awaiting a reply.</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not regularly communicated to staff (link 1.2.3.6).  Corrective actions relating to the complaints received failed to indicate evidence of implementation (link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An RN discusses aspects of the Code with residents and their family on admission.  Discussions relating to the Code are also held during the monthly resident/family meetings.  All ten residents (five rest home, which included one in a care apartment; and five hospital) and four families (one rest home and three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All rooms have full ensuites.  Privacy signage was on communal toilet and shower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were no residents living at the facility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organisations within the community with one resident/kaumātua living in the retirement village who identifies with Ngati Pikiao.  Staff receive annual education on cultural awareness that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care plan, evidenced in all eight care plans reviewed (three rest home and five hospital).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also defined in job descriptions.  Interviews with all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rostered 24-hours a day, seven days a week.  A general practitioner (GP) visits the facility twice weekly.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education and training programmes for staff are provided.  A range of competency assessments are completed by staff in addition to in-service training.  Reminders are provided to remind staff when competency assessments are due.  The caregivers interviewed reported that the education and training sessions are very informative and helpful.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are held monthly, led by the activities coordinator.  Residents and families interviewed reported that they are satisfied with the services received.  A satisfaction survey of the care facility also indicated that residents and family are satisfied.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offered three days a week.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Evidence of contact being maintained with families including when an incident or care/health issue arises was documented on the twenty hard copy accident/incident forms that were randomly selected for review.  Interviews with families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agreement is in place with an external provider for interpreter and translation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Park is certified to provide rest home and hospital (geriatric and medical) level care in their care facility for up to 53 residents.  In addition, there are 55 apartments certified for rest home level of care (across level two and level three).  On the day of the audit there were 40 residents in the care facility (12 rest home and 38 hospital).  There were five residents (four rest home and one hospital) in the apartments (link 1.2.4.2).  All 53 rooms in the care facility floor level three are certified for dual-purpose.  Summerset by the Park holds medical certification for their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A relief village manager with appropriate and applicable experience is responsible for the retirement village until the village manager vacancy is filled.  A nurse manager is appointed who is responsible for the rest home and hospital level residents.  He is a registered nurse (RN) who has worked in managerial roles in aged care since 1994.  He was appointed to his role in October 2016 and is supported by a clinical nurse lead/RN.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guided by a philosophy, vision and values.  A 2017 operations business plan lists measureable goals and objectives.  Business goals are regularly reviewed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 minimum of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administrative functions of the facility and the clinical nurse lead is responsible clinically during the absence of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established through the Summerset head office.  Quality management is overseen by the organisation’s regional quality manager.  Policies and procedures reflect evidence of regular reviews as per the document control schedule.  New and/or revised policies are made available for staff to read and sign that they have read and understand the changes.  The village manager and nurse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skin tears and pressure areas.  Data is collated and benchmarked against other Summerset facilities to identify trends.  A resident satisfaction survey has recently been completed.  An annual internal audit schedule is being implemented with audits completed as per the schedule.  In addition to monthly internal audits, the regional quality manager completed six-monthly facility audits.  Missing was evidence in the various staff meeting minutes to confirm that quality data and results were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developed where opportunities for improvements were identified following internal audits, and the recent resident satisfaction survey.  Missing was evidence of the implementation of corrective actions initiated through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officer, and is supported by a health and safety team.  A contractor induction programme is in place.  Hazard identification forms and a hazard register are being implemented but the review of hazard controls are not documented as per Summerset health and safety policy.  Links are in place to ensure the board is kept informed of any high risk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(link 1.2.3.6).  Immediate actions taken are documented on accident/incident forms. The forms are reviewed and investigated by the nurse manager.  These reviews are behind schedule. Where risks are identified, they are processed as hazards.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relief village manager and the clinical manager confirmed their awareness of statutory requirements in relation to essential notification.  Public health authorities and the DHB were promptly notified following an outbreak in 2016 and a section 31 report was completed for a coroner’s inquest.  A dispensation request was sent to HealthCERT requesting a hospital level resident to temporarily remain in a rest home level apartment.  This was approved by HealthCERT on 7 February 2017 for a period of three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nurses and visiting health professionals were current.  Nine staff files were reviewed (three caregivers, three RNs, one clinical manager/RN, one diversional therapist, one housekeeper).  Evidence of signed employment contracts, job descriptions, orientation, and staff training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were up-to-date.  Newly appointed staff complete an orientation that is specific to their job duties. Interviews with two caregivers who cover the am and pm shifts confirmed that the orientation programme included a period of supervision over three days.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 system for determining staff competency is implemented.  Competencies for RNs includes (but is not limited to) medication,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nurse manager/RN and clinical nurse leader/RN work five days a week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(dual-purpose rest home/hospital) and 13 serviced apartments (rest home level) are located on the third level.  There are 40 residents in the care facility (12 rest home and 38 hospital) and three in the apartments (two rest home and one hospital).  This floor is staffed with two RNs in the am, two RNs or one RN and one EN in the pm and one RN during the night shift.  There are adequate numbers of caregivers rostered 24/7 in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apartments (two rest home and one hospital) on the third level and on the second level (two rest home) are staffed with one caregiver on each shift.  The hospital level resident in a rest home level apartment on the third floor is awaiting transfer to a room closer to the nurses’ station although the resident and family were reported as resistant to this change.  They were assessed by NASC as hospital level in November 2016 (link 1.2.4).  The resident is able to use their call bell.  Meetings with the resident and family are underway.    </w:t>
            </w:r>
          </w:p>
          <w:p w:rsidR="00EB7645" w:rsidRPr="00BE00C7" w:rsidP="00BE00C7">
            <w:pPr>
              <w:pStyle w:val="OutcomeDescription"/>
              <w:spacing w:before="120" w:after="120"/>
              <w:rPr>
                <w:rFonts w:cs="Arial"/>
                <w:b w:val="0"/>
                <w:lang w:eastAsia="en-NZ"/>
              </w:rPr>
            </w:pPr>
            <w:r w:rsidRPr="00BE00C7">
              <w:rPr>
                <w:rFonts w:cs="Arial"/>
                <w:b w:val="0"/>
                <w:lang w:eastAsia="en-NZ"/>
              </w:rPr>
              <w:t>Separate staff complete laundry and cleaning duties.  Staff reported that staffing levels and the skill mix was safe.  Interviews with residents and families confirmed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for rest home and hospital level care are provided for families and residents prior to admission or on entry to the service.  All admission agreements reviewed (all long-term residents as there were no short-term admissions),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An electronic medicine management system is implemented to ensure residents receive medicines in a safe and timely manner.  Clinical staff who administer medications (RNs and senior caregivers) have been assessed for competency on an annual basis and attend annual medication education.  Staff sign for the administration of medications on medication sheets held with the medicines and this was documented and up-to-date in all 16 medication signing sheets reviewed.  The medication folders include a list of specimen signatures.  Medication received (robotic rolls) are checked on delivery against the medication chart by the RN.  All medications (including apartment residents) are stored safely in the treatment room care floor and administered from medication trolleys.  The system in place for the management of controlled drugs meets the required regulations and guidelines.  The controlled drugs register was correct and a weekly stocktake is conducted by an RN. The medication fridge is maintained within the acceptable temperature range.  All eye drops and ointments were dated on opening. There was one resident self-medicating on the day of audit.  A self-medication competency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Sixteen (two rest home in serviced apartments, four rest home and ten hospital level residents) medication charts were reviewed.  All medication charts sampled had photo identification and allergy status.  Staff were witnessed administering medications.  Not all medication charts demonstrated the correct charting of ‘as required’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 site by external contractors.  There is a four weekly winter and summer menu which has been reviewed by a dietitian.  Meals are prepared in a well-appointed kitchen and served to the residents in the adjoining dining room.  Serviced apartment residents are able to receive meals in the main dining room.  All kitchen staff are trained in safe food handling and receive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records all fridge and freezer temperatures.  Not all stored food was dated.  Staff were observed serving and assisting residents with their lunchtime meals and drinks.  Diets are modified as required.  On admission, the registered nurse completes a dietary profile and a copy is given to the kitchen. The RN updates the profiles annually or more often if required and communicates the profile updates, likes and dislikes to food services staff.  Supplements are provided to residents with identified weight loss issues.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would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with one exception (link 1.3.6.1).  Registered nurses (RNs) have completed InterRAI training and the assessment tool was evident in resident files.  Assessments for pain had been documented for resident files sampled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in resident files sampled did not all fully describe the resident goals, supports and interventions required to meet desired goals as identified through assessments.  The long-term care plan, completed within three weeks, records the resident’s problem/need and objectives; however, not all had sufficient interventions that reflected the residents’ needs.  Care plans were evaluated for identified issues and were completed six monthly, or as condition changed.  Residents and families interviewed confirmed their involvement in the care planning process and multi-disciplinary meetings.  Short-term care plans are in use for short-term needs and changes in health status.  There was evidence of allied healthcare professionals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current but interventions did not always reflect the assessments conducted and the identified requirements of the residents (link 1.3.5.2).  Interviews with staff (registered nurse and caregivers) and relatives confirmed involvement of families in the care planning process.  Dressing supplies are available and a treatment room is stocked for use.  Continence products are available and resident files include a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eight residents (four of whom had more than one wound and two of which were pressure injuries) and evidenced that all required documents were fully completed for these identified wounds.  One further pressure injury had not been appropriately documented or managed.</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plans for the provision of the activities programme over seven days each week.  The diversional therapist and the recreational therapist both work 40 hours a week and cover seven days. The programme is planned monthly and residents receive a personal copy of planned monthly activities.  Activities planned for the day were displayed on noticeboards around the facility.  A diversional therapy plan has been developed for each individual resident based on assessed needs.  Residents are encouraged to join in activities that were appropriate and meaningful and are encouraged to participate in community activities.  Links to the community are established with regular visits from a local school and participation in a reading programme.  The service has a van that is used for resident outings.  Residents were observed being encouraged and participating in activities on the days of audit.  Family meetings and the next of kin survey provide a forum for feedback relating to activities as well as resident verbal feedback.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for long-term residents were evaluated by the RN within three weeks of admission and long term-care plans developed.  Long-term care plans have been evaluated by the RN six monthly or earlier for any health changes for four of the eight files reviewed.  Four residents had not been at the service six months.  Written evaluations reviewed identified if the resident goals had been met or unmet.  Family had been invited to attend multi-disciplinary meetings to discuss the care plan review and informed of any changes if unable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as identified in the file of a resident who had been reassessed from rest home level care to hospital level care.  Referrals to physiotherapy and dietitians were evidenced in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in locked areas throughout the facility.  Chemicals are clearly labelled and safety material datasheets are available and accessible in all service areas.  The hazard register is current.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supply company visits each month to check that supplies are adequate and that staff are managing chemicals safely and efficiently.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in April 2017.  The service employs a full-time maintenance manager responsible for overall maintenance of the building and a maintenance gardener who is responsible for the exterior and gardens. The maintenance manager is supported by two full-time and one part-time assistant.  The facility uses an electronic database to ensure all maintenance systems, including hot water checks are scheduled and reviewed.  Daily maintenance requests are addressed and undertaken by both internal maintenance and external contractors.  There is an annual maintenance plan which is implemented.  Electrical testing and tagging of electrical equipment is completed as required.  Clinical equipment has been calibrated.  The maintenance team is available on-call over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and courtyards on the ground floor.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  Interviews with residents and family members confirmed the environment was suitable and safe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dual-purpose resident rooms on the third floor have ensuites.  The studio apartments on the second and third floor have ensuites.  The hand basin, toilet and shower facilities are of an appropriate design to meet the needs of the residents. There are communal toilets with privacy locks located near the communal areas.  Residents interviewed confirmed care staff respects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light and spacious.  There is adequate room to safely manoeuvre using mobility aids or hoists.  Residents and families are encouraged to personalise bedrooms.  A tour of the facility evidenced personalised rooms, which included the residents own furnishing and adornments.  Three rooms in the care facility were assessed to determine their suitability as double rooms.  All three rooms were spacious in size and each room could comfortably accommodate two double beds.  They will be used for married couples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room on the third floor used for activities, recreation and dining activities.  The dining room is spacious, and located directly off the kitchen.  A well-equipped café is located adjacent to the kitchen and is open to residents and the public.  A library is available adjacent to the entrance foyer.  All areas are easily accessible for residents.  There is a communal lounge in the second floor serviced apartment area being approved for rest home level care and all apartments have a lounge.  The furnishings and seating are appropriate.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provide guidelines regarding the safe and efficient use of laundry services.  There are dedicated laundry staff and cleaners on duty seven days a week.  The laundry is located on the ground floor and laundry is transported in covered trolleys by lift to the laundry. The laundry has an entry and exit door.  There is appropriate personal protective wear readily available.  The cleaner’s trolley is stored in a locked area when not in use.  Internal audits and the chemical provider monitor the effectiveness of the cleaning and laundry processes.  Residents and relatives reported satisfaction with the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 pandemic plan and a civil defence plan are documented for the service.  The education and training programme includes fire and security training, which begins during new staff orientation.  Staff interviewed confirmed their understanding of emergency procedures.  Required fire equipment was sighted on the day of audit.  Fire equipment has been checked within required timeframes.  There are adequate supplies readily available in the event of a civil defence emergency including food, water and blankets.  Two gas barbeques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call-bell system is in place.  Residents were observed in their rooms with their call-bell alarms in close proximity.  There is a minimum of one staff available 24-hours a day, seven days a week with a current first aid/CPR certificate.  Activities staff also hold current first aid/CPR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Documentation and visual inspection evidences that the environment is maintained at a safe and comfortable temperature.  The residents and family interviewed confirmed temperatures were comfortable.  There is a designated external smoking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Park has an established infection control programme.  The infection control nurse is a registered nurse who has been in the role for ten months.  The infection control programme is appropriate for the size, complexity and degree of risk associated with the service.  The infection control coordinator is supported by the clinical manager, nurse manager, quality manager and other Summerset infection control nurses.  External support is available from Bug Control, the district health board, infection control specialists and geriatricians.  Infection control audits have been conducted and include hand hygiene and infection control practices.  Education is provided for all new staff on orientation.  The infection control programme has been reviewed monthly and annually and linked into the quality management system. Visitors are advised of any outbreaks of infection and are advised not to attend until the outbreak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IC nurse and IC team have good external support from the Summerset care head office, public health unit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Park uses the Summerset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completed external training and is currently working on an online infection control qualification.  All staff receive orientation and ongoing infection control education.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benchmarked with similar facilities.  Short-term care plans are used.  Surveillance of all infections is entered onto a monthly infection summary.  This data is monitored and evaluated monthly and compared month by month.  Outcomes and actions are discussed at quality meetings (link 1.2.3.6) and daily staff briefings and results are posted for staff to view.  If there is an emergent issue, it is acted upon in a timely manner.  Reports are easily accessible to the site manager.  There has been one outbreak which was well documented and managed.  Public health authorities were notified in a timely manner.  Monthly and annual reviews are comprehensively documented and reviewed at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hospital level residents with a restraint and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The restraint assessment tool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residents’ files where restraint was being used (bed rails and lap belt) were selected for review.  Each file reviewed included a restraint assessment and consent form that was signed by the resident’s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were sighted on the monitoring forms for the two residents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evidenced in one resident file where restraint had been in use for over three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a national level and includes identifying trends in restraint use, reviewing restraint minimisation policies and procedures and reviewing the staff education and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3"/>
        <w:gridCol w:w="1280"/>
        <w:gridCol w:w="6647"/>
        <w:gridCol w:w="1826"/>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complaints received in 2016 were selected for review.  The complaints process indicated that the acknowledgement and investigation for each complaint had been managed in a timely manner but failed to reflect evidence of resolution in eight of the complaints.  The two complaints that were documented as resolved had involved HDC Advocacy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complaints that were documented as closed failed to reflect evidence of resolution.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process includes evidence of resolution (or justification as to why this isn’t possible) before closing the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analysed and evaluated.  Data is benchmarked against other Summerset facilities with targets established.  The internal audit programme is being implemented.  Missing is evidence of quality and risk data and results being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gaps in meeting minutes around the reporting of quality and risk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of quality and risk management information including outcomes and areas identified for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corrective actions was sighted for the internal audit programme and the recent resident satisfaction survey.  The documentation for complaints also included corrective actions but a system to ensure that the corrective actions had been implemented had not been established.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to support the implementation of corrective action plans was missing for three of eleven complaints received in 2016 where recommendations had been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evidence to support the implementation of corrective actions that originate from a complaints investigation.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safety plan has been updated to incorporate legislative changes.  A health and safety team has been established and the recently appointed health and safety officer is scheduled to attend external training.  Health and safety is a regular agenda item in meeting minutes (link 1.2.3.6).  Staff complete a hazard identification form when a hazard is identified.  Hazards that cannot be eliminated are added to the hazard register.  As per policy, all hazards controls will be monitored as per the schedule identified on the hazard register.  Maintenance staff reported that hazards are regularly checked but that this is not being documented as per policy.  A monthly hazard monitoring form was sighted but is not consistently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evidence to indicate that hazards identified on the hazard register are regularly monitored.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hazards are regularly monitored as per the health and safety plan for the organisation.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accident incident form following an adverse event.  Information is held both in hard copy and electronically.  Neurology observations are completed if there is a suspected injury to the head.  The nurse manager is responsible for reviewing all accident/incident forms.  This process is behind schedule with a selection of accident/incident forms reviewed for November and December 2016 awaiting review by the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of twenty accident/incident forms selected for review (November and December 2016) had not been signed off by the clinical manager as closed.  The clinical manager confirmed that there is a backlog and that this is an issue that he is currently working 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adverse events are reviewed by the nurse manager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signing sheets for regular and ‘as required’ medications corresponded with the instructions on the medication chart.  Regular medications were prescribed correctly.  Ten of sixteen medication charts had been reviewed by the GP three monthly. Six residents were admitted within three months.  There are no standing orders in use.  There were records of a weekly stocktake of controlled drugs.  Not all as required medications had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sixteen medication charts did not identify indications for use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‘as required’ medications have indications for use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the service are prepared and cooked on site by external contractors.  There is a four weekly winter and summer menu which has been reviewed by a dietitian.  Meals are prepared in a well-appointed kitchen and served to the residents in the adjoining dining room.  Serviced apartment residents are able to receive meals in the main dining room.  All kitchen staff are trained in safe food handling and receive ongoing training.  Food stored in the pantry, fridge and freezer did not always evidence decanting, expiry or preparations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Foodstuffs in the fridge, freezer and pantry did not evidence dates of when they were initially opened.   </w:t>
            </w:r>
          </w:p>
          <w:p w:rsidR="00EB7645" w:rsidRPr="00BE00C7" w:rsidP="00BE00C7">
            <w:pPr>
              <w:pStyle w:val="OutcomeDescription"/>
              <w:spacing w:before="120" w:after="120"/>
              <w:rPr>
                <w:rFonts w:cs="Arial"/>
                <w:b w:val="0"/>
                <w:lang w:eastAsia="en-NZ"/>
              </w:rPr>
            </w:pPr>
            <w:r w:rsidRPr="00BE00C7">
              <w:rPr>
                <w:rFonts w:cs="Arial"/>
                <w:b w:val="0"/>
                <w:lang w:eastAsia="en-NZ"/>
              </w:rPr>
              <w:t>ii)  Prepared foodstuffs in the fridge (eg, prepared meals) do not evidence initial preparation dates.</w:t>
            </w:r>
          </w:p>
          <w:p w:rsidR="00EB7645" w:rsidRPr="00BE00C7" w:rsidP="00BE00C7">
            <w:pPr>
              <w:pStyle w:val="OutcomeDescription"/>
              <w:spacing w:before="120" w:after="120"/>
              <w:rPr>
                <w:rFonts w:cs="Arial"/>
                <w:b w:val="0"/>
                <w:lang w:eastAsia="en-NZ"/>
              </w:rPr>
            </w:pPr>
            <w:r w:rsidRPr="00BE00C7">
              <w:rPr>
                <w:rFonts w:cs="Arial"/>
                <w:b w:val="0"/>
                <w:lang w:eastAsia="en-NZ"/>
              </w:rPr>
              <w:t>iii) Dried goods such as herbs, spices, flour etc. did not always evidence expiry dates or decanting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foodstuffs are dated and stored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in place for all residents and documented care plan interventions for some risks identified through InterRAI assessment process.  Care staff interviewed were able to explain the care and support needed for all residents in their care. Care plans did not all include required interventions to support mobility, pressure injury prevention and management, oxygen therapy, dietary requirements, pain and communication.  One hospital resident (tracer) non English speaking, did not have methods of communication documented, although staff confirmed they could contact family when required. Two hospital residents identified as high risk of pressure injury with current pressure injuries did not have sufficient interventions in place to minimise further risk. Staff confirmed that interventions are in place and turning charts were completed however there were insufficient interventions documented to direct all aspects of related care. Two hospital residents had assessments identifying pain however care planning did not reflect sufficient appropriate interventions for pain management. Two hospital residents identified with dietary requirements.  One had insufficient interventions documented and the other had contradictory interventions. Care staff were observed encouraging and assisting residents with food and fluids.  Snacks are available between meals and protein drinks were used.  One hospital resident had regular oxygen charted on the medication chart, however this and oxygen concentrator use were not documented in the care plan. This was administered as charted.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hospital residents did not have sufficient interventions documented in the care plan to address all identified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care plans include nursing interventions for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recent hospital admission had admission documentation, assessments and initial and long-term care plans well-documented however an unstageable pressure injury identified on admission had not been correctly staged and did not have a wound assessment and management plan documented and the wound was not entered on the wound register or appropriately managed.  An incident form had been completed and progress notes document treatment and updated status. The registered nurse reported that the wound was now almost healed. The resident had a second pressure injury. The wound was managed and documented appropriately. A pain assessment was documented on admission, but had not been reviewed following the development of the pressure injury.  Prevention of further risks for this resident was managed by regular position changes, an alternating air mattress, dietary interventions and regular skin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unstageable pressure injury as identified in photos had not been staged and was not entered on the wound register and there was no evidence of a wound assessment, treatment plan or review documentation. The only intervention was the application of moisturiser.</w:t>
            </w:r>
          </w:p>
          <w:p w:rsidR="00EB7645" w:rsidRPr="00BE00C7" w:rsidP="00BE00C7">
            <w:pPr>
              <w:pStyle w:val="OutcomeDescription"/>
              <w:spacing w:before="120" w:after="120"/>
              <w:rPr>
                <w:rFonts w:cs="Arial"/>
                <w:b w:val="0"/>
                <w:lang w:eastAsia="en-NZ"/>
              </w:rPr>
            </w:pPr>
            <w:r w:rsidRPr="00BE00C7">
              <w:rPr>
                <w:rFonts w:cs="Arial"/>
                <w:b w:val="0"/>
                <w:lang w:eastAsia="en-NZ"/>
              </w:rPr>
              <w:t>ii) Pain assessment and monitoring had not been reviewed following the development of a stage two sacral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wound assessments, plans and reviews are completed for all wounds and that appropriate wound care is implemented.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pain assessments and monitoring are implemented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Park</w:t>
    </w:r>
    <w:bookmarkEnd w:id="58"/>
    <w:r>
      <w:rPr>
        <w:rFonts w:cs="Arial"/>
        <w:sz w:val="16"/>
        <w:szCs w:val="20"/>
      </w:rPr>
      <w:tab/>
      <w:t xml:space="preserve">Date of Audit: </w:t>
    </w:r>
    <w:bookmarkStart w:id="59" w:name="AuditStartDate1"/>
    <w:r>
      <w:rPr>
        <w:rFonts w:cs="Arial"/>
        <w:sz w:val="16"/>
        <w:szCs w:val="20"/>
      </w:rPr>
      <w:t>26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