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Gladys Mary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Gladys Mary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January 2017</w:t>
      </w:r>
      <w:bookmarkEnd w:id="7"/>
      <w:r w:rsidRPr="009418D4">
        <w:rPr>
          <w:rFonts w:cs="Arial"/>
        </w:rPr>
        <w:tab/>
        <w:t xml:space="preserve">End date: </w:t>
      </w:r>
      <w:bookmarkStart w:id="8" w:name="AuditEndDate"/>
      <w:r w:rsidR="00A4268A">
        <w:rPr>
          <w:rFonts w:cs="Arial"/>
        </w:rPr>
        <w:t>1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Gladys Mary Rest Home is part of the Bupa group. The service is certified to provide rest home, and dementia level care for up to 38 residents.  There were 37 residents on the day of audit.  </w:t>
      </w:r>
    </w:p>
    <w:p w:rsidRPr="00A4268A">
      <w:pPr>
        <w:spacing w:before="240" w:line="276" w:lineRule="auto"/>
        <w:rPr>
          <w:rFonts w:eastAsia="Calibri"/>
        </w:rPr>
      </w:pPr>
      <w:r w:rsidRPr="00A4268A">
        <w:rPr>
          <w:rFonts w:eastAsia="Calibri"/>
        </w:rPr>
        <w:t>This certification audit was conducted against the health and disability standards and the contract with the district health board.  The audit process included the review of existing policies and procedures, the review of resident and staff files, observations and interviews with residents, family members, staff and management.</w:t>
      </w:r>
    </w:p>
    <w:p w:rsidRPr="00A4268A">
      <w:pPr>
        <w:spacing w:before="240" w:line="276" w:lineRule="auto"/>
        <w:rPr>
          <w:rFonts w:eastAsia="Calibri"/>
        </w:rPr>
      </w:pPr>
      <w:r w:rsidRPr="00A4268A">
        <w:rPr>
          <w:rFonts w:eastAsia="Calibri"/>
        </w:rPr>
        <w:t xml:space="preserve">The care home manager has over nine years expereince in aged care and management. Staff turnover remains low. There are well developed systems, processes, policies and procedures that are structured to provide appropriate quality care for residents. Implementation is supported through the Bupa quality and risk management programme that is individualised to Gladys Mary. </w:t>
      </w:r>
    </w:p>
    <w:p w:rsidRPr="00A4268A">
      <w:pPr>
        <w:spacing w:before="240" w:line="276" w:lineRule="auto"/>
        <w:rPr>
          <w:rFonts w:eastAsia="Calibri"/>
        </w:rPr>
      </w:pPr>
      <w:r w:rsidRPr="00A4268A">
        <w:rPr>
          <w:rFonts w:eastAsia="Calibri"/>
        </w:rPr>
        <w:t>A continuous improvement has been achieved in quality and risk around the falls prevention programme and reducing skin tears.</w:t>
        <w:br/>
        <w:t>There are two improvements required around dementia standards training, and medication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Bupa Gladys Mary endeavours to provide care in a way that focuses on the individual residents' quality of life. There is a Māori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Complaints processes are implemented and complaints and concerns are managed and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Gladys Mary has an established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to the organisation's management team.  Four benchmarking groups across the organisation are established for rest home, hospital, dementia, psychogeriatric and mental health services.  Gladys Mary is benchmarked in two of these (rest home and dementia).  There are human resources policies including recruitment, selection, orientation and staff training and development.  The service has in place an orientation programme that provides new staff with relevant information for safe work practice.  There is an in-service training programme covering relevant aspects of care and support.  The organisational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Resident records reviewed provide evidence that the clinical manager utilises the InterRAI assessment to assess, plan and evaluate care needs of the residents.  Care plans are developed in consultation with the resident and/or family.  Care plans demonstrate service integration and are reviewed at least six monthly.  Resident files include three monthly reviews by a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completes education and medicines competencies.  The medicines records reviewed include documentation of allergies and sensitivities and are reviewed at least three monthly by the general practitioner.  </w:t>
      </w:r>
    </w:p>
    <w:p w:rsidRPr="00A4268A" w:rsidP="00621629">
      <w:pPr>
        <w:spacing w:before="240" w:line="276" w:lineRule="auto"/>
        <w:rPr>
          <w:rFonts w:eastAsia="Calibri"/>
        </w:rPr>
      </w:pPr>
      <w:r w:rsidRPr="00A4268A">
        <w:rPr>
          <w:rFonts w:eastAsia="Calibri"/>
        </w:rPr>
        <w:t>An activities programme is implemented separately for the rest home and dementia residents.  The programme includes community visitors and outings, entertainment and activities that meet the recreational preferences and abilities of the residents.</w:t>
      </w:r>
    </w:p>
    <w:p w:rsidRPr="00A4268A" w:rsidP="00621629">
      <w:pPr>
        <w:spacing w:before="240" w:line="276" w:lineRule="auto"/>
        <w:rPr>
          <w:rFonts w:eastAsia="Calibri"/>
        </w:rPr>
      </w:pPr>
      <w:r w:rsidRPr="00A4268A">
        <w:rPr>
          <w:rFonts w:eastAsia="Calibri"/>
        </w:rPr>
        <w:t xml:space="preserve">All food and baking is done on site.  All residents' nutritional needs are identified and documented.  Choices are available and are provided.  The organisational dietitian reviews the Bupa menu plans. Nutritious snacks are available 24/7 in the dementia unit. </w:t>
      </w:r>
    </w:p>
    <w:p w:rsidRPr="00A4268A" w:rsidP="00621629">
      <w:pPr>
        <w:spacing w:before="240" w:line="276" w:lineRule="auto"/>
        <w:rPr>
          <w:rFonts w:eastAsia="Calibri"/>
        </w:rPr>
      </w:pPr>
      <w:r w:rsidRPr="00A4268A">
        <w:rPr>
          <w:rFonts w:eastAsia="Calibri"/>
        </w:rPr>
        <w:t xml:space="preserve">Residents and family interviewed were satisfied with the menu and alternative choices that are available.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 holds a current warrant of fitness.  Resident rooms are single, spacious and personalised.  Communal areas within each area are easily accessed with appropriate seating and furniture to accommodate the needs of the residents.  External areas are safe and well maintained.  Fixtures fittings and flooring is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  A first aider is on duty on each shift.  The facility temperature is comfortable and constant.  Electrical equipment has been tested and tagged.  All medical equipment and all hoists have been serviced and calibrated.  Hot water temperatures are monitored.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Enablers are voluntary and the least restrictive option.  There were no residents who required enablers or restraints during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officer (clinical manager)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457"/>
        <w:gridCol w:w="1280"/>
        <w:gridCol w:w="920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two caregivers, one activity coordinator, clinical manager and care home manager,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obtained on admission were sighted in the seven resident files reviewed (three dementia and four rest home).  Advance directives if known were on the residents’ files.  Resuscitation plans for competent residents were appropriately signed.  Copies of enduring power of attorney (EPOA) were in resident files for residents deemed incompetent to make decisions.  </w:t>
            </w:r>
          </w:p>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implemented.  Systems are in place to ensure residents, and where appropriate their family/whānau, are provided with appropriate information to make informed choices and informed decisions.  Residents and relatives interviewed confirmed they have been made aware of and fully understand informed consent processes and confirmed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Long-term resident’s files reviewed had a signed admission agreement or were in the process of being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national Health and Disability Advocacy service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by encouraging their attendance at functions and events.  Resident and relative meetings are held bi-monthly.  Regular newsletters are provided to residents and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received is maintained by the care home manager using a complaints’ register.  Five complaints made in 2016 were reviewed and reflected evidence of responding to complaints in a timely manner with appropriate follow-up actions taken.  All five complaints were signed off by the care home manager as resolved.  Documentation including follow-up letters and resolution demonstrates that complaints are being managed in accordance with guidelines set forth by the Health and Disability Commissioner (HDC).  Discussions with residents and relatives confirmed they were provided with information on complaints and complaints forms.  Complaints forms and a suggestion box are placed at reception.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care home manager and the clinical manager discuss aspects of the Code with residents and their family on admission.  Discussions relating to the Code are held during the resident/family meetings.  Six residents and three relatives (one rest home and two dementia level) interviewed reported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Values and beliefs information is gathered on admission with family involvement and is integrated into the residents' care plans.  Spiritual needs are identified and church services are held.  There is a policy on abuse and neglect and staff received training in August 2016.  All resident files reviewed evidenced that cultural and/or spiritual values and individual preferences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Two residents who identify as Māori are living at the facility.  Māori consultation is available through the Ngati Kahungunuiwi links and Māori staff who are employed by the service.  Staff receive education on cultural awareness during their induction to the service and as a regular in-service topic.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Residents and relatives interviewed confirmed they were involved in developing the resident’s plan of care, which included the identification of individual values and beliefs.  All care plans reviewed included the resident’s spiritual and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  Caregivers are trained to provide a supportive relationship based on sense of trust, security and self-esteem.  Interviews with two caregivers could describe how they build a supportive relationship with each resident.  Interviews with two families from the dementia unit confirmed that staff are reassuring and assist to relieve resident’s anxiety.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The care home manager and clinical manager are registered nurses and cover on-call during weekends.  A house GP visits the facility one day per week and provides an after-hours service.  The GP interviewed was satisfied with the level of care that is being provided.  The service receives support from the local district health board (DHB), which includes nurse specialist’s visits.  Physiotherapy services are provided on request.  The service has links with the local community and encourages residents to remain independent.  Bupa has established benchmarking groups for rest home, hospital and dementia services.  Bupa Gladys Mary is benchmarked against the rest home and dementia services data.  If the results are above the benchmark, a corrective action plan is developed by the service.  The service demonstrated a number of examples of good practice including not using any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accident/incidents and open disclosure alert staff to their responsibility to notify family/next of kin of any accident/incident that occurs.  Fifteen accident/incident forms reviewed evidenced that family were notified.  Admission information details next of kin wishes in regards to notification of accidents/incidents.  Relatives interviewed stated they were notified of any changes to the resident’s health including incidents/accidents.  An interpreter policy is in place.  Interpreter services are used where indicated.  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Gladys Mary is certified to provide rest home and dementia level care for up to 38 residents.  On the days of audit there were 37 residents, 22 (of 23 beds) rest home residents and 15 (of 15 beds) dementia care residents.  A vision, mission statement and objectives are in place.  Annual goals for the facility were determined in January 2017, which link to the overarching Bupa strategic plan.  Goals include (but not limited to) falls reduction and safe manual handling and reducing the rate of respiratory infections.  Progress towards meeting the goals are reviewed regularly and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been in the role for three years.  She is a registered nurse with a current practicing certificate, holds a master of nursing degree and has nine years aged care experience.  The care home manager is supported by an experienced clinical manager/RN who has been in the role for seven months.  The management team are supported by a regional operations manager and the Quality and Risk team at head office.  Benchmarking occurs with other Bupa facilities.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maintained over eight hours annually of professional development activities relating to managing an aged care service, which includes attendance at Bupa manager days and conferences.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care home manager, the clinical manager or Bupa relieving care home manager covers the care home manager’s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programme is in place.  Quality and risk performance is reported across facility meetings and to the Bupa regional manager.  Discussions with the managers and staff reflected staff involvement in quality and risk management processes.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residents’ falls, infection rates, complaints received, restraint use, pressure injuries, wounds and medication errors.  Quality and risk data, including trends in data and benchmarked results are discussed in the quality and staff meetings.  An annual internal audit schedule was sighted for the service with evidence of internal audits occurring as per the audit schedule.  Corrective actions are being implemented and signed off by the care home manager when completed.</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goals are established and regularly reviewed.  Health and safety policies are implemented and monitored by the health and safety committee.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An employee health and safety programme (Bfit) is in place, which is linked to the overarching Bupa National Health and Safety Plan.  Health and safety goals are reviewed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a result of data analysis completed on falls, the facility has implemented a number of quality improvements.  The facility had implemented a quality improvement to reduce the number of falls and skin tears in 2016. These goals were evidenced to be achieved (link to 1.3.6.1).  Falls prevention strategies include the recent formation of a falls focus and skin tear prevention group, manual handling refresher education for all care staff, ensuring transfer plans are current, intentional rounding, use of senor mats, analysis of falls events including times and location of falls and links to any infection/period of illness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and timely assessment undertaken by the clinical manager.  Fifteen accident/incident forms from December 2016 and January 2017 (nine dementia level of care and six rest home care) were reviewed.  Neurological observations are conducted for unwitnessed falls.  Data collected on incident and accident forms are linked to the quality management system.  Incident/accident data is linked to the organisation's quality and risk management programme and is used for comparative purposes.  The care home manager is aware of their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Six staff files reviewed (one care home manager, one clinical manager, two caregivers, one activities coordinator and one cook) included a recruitment process (interview process, reference checking, police check), signed employment contracts, job descriptions and completed orientation programmes.  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Staff are required to complete written core competencies during their induction.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are both InterRAI trained.  The administration staff have attended InterRAI training around admission procedures and the activity coordinator has attended training around the activities sections of the InterRAI assessment.  A total of twenty caregivers are employed to work in the dementia unit with 18 having completed their national dementia qualification.  One caregiver is in the process of completing their dementia standards qualification and has been employed for less than 12 months.  One caregiver is enrolled to complete their dementia standards qualification, however commenced work over the 12 month period.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staffing policy that aligns with contractual requirements and includes skill mixes.  The care home manager and clinical manager are registered nurses who are available during weekdays and are on-call 24/7.  There are two caregivers working in the rest home on the AM and PM shifts and also two caregivers working in the dementia unit on the AM and PM shifts.  At night there is one caregiver rostered in the rest home and one in the dementia unit.  Interviews with two relatives from the dementia unit, one from the rest home and six rest home residents all confirmed that staffing numbers were good.  Caregivers interviewed stated that staffing levels were adequate.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Information containing sensitive resident information is not displayed in a way that can be viewed by other residents or members of the public.  Entries in records are legible, dated and signed by the relevant care staff.  Individual resident files demonstrate service integration with only medication charts held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  Information gathered on admission is retained in residents’ records.  Relatives interviewed stated they were well informed upon admission.  The service has a well-developed information pack available for residents/families/whānau at entry. The admission agreement reviewed aligns with the service’s contracts.  Seven admission agreements viewed were signed.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All appropriate documentation and communication was completed.  Transfer to the hospital and back to the facility post-discharge, was well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 clinical manager checks all medications on delivery against the medication profile and any pharmacy errors recorded and fed back to the supplying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senior caregivers responsible for the administering of medications have completed annual medication competencies and annual medication education.  The standing orders have been approved by the GPs annually and meet the legislative requirements for standing orders.  There were four rest home residents self-medicating on the day of audit.  Self-medicating competency, three monthly reviews and monitoring were in place.  The medication fridge temperatures have been consistently recorded. </w:t>
            </w:r>
          </w:p>
          <w:p w:rsidR="00EB7645" w:rsidRPr="00BE00C7" w:rsidP="00BE00C7">
            <w:pPr>
              <w:pStyle w:val="OutcomeDescription"/>
              <w:spacing w:before="120" w:after="120"/>
              <w:rPr>
                <w:rFonts w:cs="Arial"/>
                <w:b w:val="0"/>
                <w:lang w:eastAsia="en-NZ"/>
              </w:rPr>
            </w:pPr>
            <w:r w:rsidRPr="00BE00C7">
              <w:rPr>
                <w:rFonts w:cs="Arial"/>
                <w:b w:val="0"/>
                <w:lang w:eastAsia="en-NZ"/>
              </w:rPr>
              <w:t>Fourteen medication charts were reviewed (seven rest home and seven dementia).  Photo identification and allergy status was on all fourteen charts.  All medication charts had been reviewed by the GP at least three monthly.  Twelve of fourteen resident medication administration signing sheets corresponded with the medication chart.  Indications for use of ‘as required’ medication were not consistently documented on medication charts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Anti-psychotic management plans are used for residents in the dementia unit when medications are commenced, discontinued or changed.  The GP reviews the anti-psychotic management plans at least monthly or earlier and if required makes a referral to the psychiatric older people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policies and procedures are available.  The kitchen manager oversees the food services and is supported by a cook and kitchenhands. The national menus have been audited and approved by an external dietitian.  The main meal is served at lunchtime.  All baking and meals are cooked on site in the main kitchen.  Meals are delivered in bain-maries or hot boxes to the kitchenettes in each area where they are served.  The kitchen manager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food temperatures are recorded on each meal daily.  Serving temperatures from bain-maries are monitored.  Temperatures are recorded on all chilled and frozen food deliveries.  Fridges and freezer temperatures are monitored and recorded daily.  Dry goods are stored in dated sealed containers.  Chemicals are stored safely.  Cleaning schedules are maintained.   Food services staff have complete on site food safety education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specialised crockery such as lip plates and mugs and utensils to promote resident independence with meals.  There are nutritional snacks available in the dementia unit 24 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the opportunity to provide feedback on the menu and food services through the resident meeting, which the chef attends.  Meeting minutes are available to the food services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embedded the InterRAI assessment protocols within its current documentation.  Bupa assessment booklets on admission and care plan templates were comprehensively completed and reviewed six monthly as part of the evaluation.  Additional assessments for management of behaviour, and wound care were completed according to need.  InterRAI initial assessments and assessment summaries were evident in printed format in all long-term resident files.  The information obtained through the assessment processes is reflected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demonstrated service integration and input from allied health.  The resident care plans sampled were individualised and addressed all identified care needs.  Care plans were amended to reflect changes in health status and were reviewed on a regular basis. The residents in the dementia unit had an activity care plan documented to cover the 24-hour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resident (as appropriate) and family/whānau involvement in the care plan process.  Relatives interviewed confirmed they were involved in the care planning process.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reviewed included interventions that reflected the resident’s current needs.  When a resident’s condition changes, the clinical manager initiates a GP visit or nursing specialist referral.  Residents interviewed reported their needs were being met.  Family members interviewed stated the care and support met their expectations for their relative.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Caregivers and the clinical manager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wound management and evaluation forms and short-term care plans were in place for three wounds (rest home) care files sampled (one stage-2 facility acquired pressure injury, one skin tear and one SCC). There were no residents with wounds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Pressure relieving equipment sighted included pressure relieving mattresses, pressure relieving cushions and limb protectors.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had implemented a quality improvement to reduce the number of falls and skin tears in 2016. These goals were evidenced to be achieved (link to 1.2.3.6).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Behaviour monitoring charts are used daily for any residents that exhibit challenging behaviours.  These behaviours, their triggers and de-escalation techniques were identified through the assessment process with management plans implemented with evidence of regular evaluations. </w:t>
            </w:r>
          </w:p>
          <w:p w:rsidR="00EB7645" w:rsidRPr="00BE00C7" w:rsidP="00BE00C7">
            <w:pPr>
              <w:pStyle w:val="OutcomeDescription"/>
              <w:spacing w:before="120" w:after="120"/>
              <w:rPr>
                <w:rFonts w:cs="Arial"/>
                <w:b w:val="0"/>
                <w:lang w:eastAsia="en-NZ"/>
              </w:rPr>
            </w:pPr>
            <w:r w:rsidRPr="00BE00C7">
              <w:rPr>
                <w:rFonts w:cs="Arial"/>
                <w:b w:val="0"/>
                <w:lang w:eastAsia="en-NZ"/>
              </w:rPr>
              <w:t>Monitoring charts sighted included (but not limited to), vital signs, blood glucose, pain, food and fluid, and behaviour monitoring.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coordinator to deliver a separate programme across the two service levels Monday to Friday.  Bupa has set activities on the programme calendar with the flexibility to add site-specific activities, entertainers and outings. </w:t>
            </w:r>
          </w:p>
          <w:p w:rsidR="00EB7645" w:rsidRPr="00BE00C7" w:rsidP="00BE00C7">
            <w:pPr>
              <w:pStyle w:val="OutcomeDescription"/>
              <w:spacing w:before="120" w:after="120"/>
              <w:rPr>
                <w:rFonts w:cs="Arial"/>
                <w:b w:val="0"/>
                <w:lang w:eastAsia="en-NZ"/>
              </w:rPr>
            </w:pPr>
            <w:r w:rsidRPr="00BE00C7">
              <w:rPr>
                <w:rFonts w:cs="Arial"/>
                <w:b w:val="0"/>
                <w:lang w:eastAsia="en-NZ"/>
              </w:rPr>
              <w:t>Activities meet the abilities of the rest home, and dementia residents.   One-on-one time is spent with residents who are unable to or choose not to join in the group activities.  Activities were observed to be delivered in the rest home in the mornings and afternoon in the dementia unit.  Dementia residents are encouraged (where appropriate) to join in activities in the rest home under supervision.  There is an activity programme in place that covers the 24 hour period for residents in the dementia unit.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coordinator has completed the required dementia unit standards and holds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links with the community with visits to the local shops, maraes and other community groups.  There are regular entertainers to the home and residents go on regular outings and drives.  The service has a van which is able to accommodate mobility aids.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family/resident completes a Map of Life on admission, which includes previous hobbies, community links, family, and interests.  The individual activity plan is incorporated into the long-term care plan and was evidenced to be reviewed six monthly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Residents/family have the opportunity to provide feedback on the activity programme through resident meetings and satisfaction surveys.  A quality improvement project around activities has been implemented as a result of resident feedback.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the clinical manager six monthly, or when changes to care occurred in all resident files reviewed.  Written evaluations describe the resident’s progress against the resident’s identified goals.  InterRAI assessments have been utilised in conjunction with the six monthly reviews.  Short-term care plans for short-term needs were evaluated and either resolved or added to the long-term care plan as an ongoing problem.  The multidisciplinary review involves the RN, GP, activity coordinator and resident/family.  The family are notified of the outcome of the review if unable to attend.  There is at least a three 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different level of care (see tracer 1.3.3.1).  Discussion with the clinical manager and care home manager identified that the service has access to a wide range of support either through the GP, Bupa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chemical/substance safety policy and waste management policy.  Management of waste and hazardous substances is covered during orientation of new staff.  Chemicals are stored safely in a locked cupboard.  Safety datasheets and product wall charts are available.  All chemicals were labelled correctly.  Approved sharps containers are available and meet the hazardous substances regulations for containers.  Gloves, aprons, and goggles are available for staff at the point of use.  Infection control policies state specific tasks and duties for which protective equipment is to be worn.  Staff were observed to be wearing appropriate personal protective clothing when carrying out their duties.  There is a chemical spills kit available.  Staff have attended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on 3 November 2017.  The building is single storey. There are three rooms in the rest home adjacent to the dementia unit which can be used as dementia level care beds.  There is a secure set of doors with key pad lock (at the entrance to this wing) which can be closed and the current secure doors to the unit can be opened to increase the size of the dementia unit. The corridors and rails promote safe mobility with the use of mobility aids and transferring equipment.  Residents were observed moving freely around the areas with mobility aids where required.  The external areas and gardens are maintained.  There is outdoor furniture and seating and shaded areas.  The dementia unit has a safe indoor and outdoor environment with a patio, seating, shade and gardens.  This is a no smoking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Reactive and preventative maintenance occurs.  There is a 52-week planned maintenance programme in place.  Hot water temperatures were monitored monthly.  All medical equipment sighted was calibrated in November 2016.  The caregivers and RNs interviewed stated that they have all the equipment referred to in care plans, necessary to provide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shared toilet and shower facilities located near the bedrooms.  There are adequate numbers of communal toilets and shower rooms.  Toilets have privacy locks.  There is appropriate signage, easy clean flooring and fixtures, and handrails appropriately placed.  Residents interviewed report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and are spacious enough to manoeuvre transferring and mobility equipment, to deliver the assessed level of care.  Residents are encouraged to personalise their bedrooms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open plan lounges and dining areas in each unit.  There is a family room located in the dementia unit.  The communal areas are easily accessible for residents. There is a quiet room available for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(as able) were observed to be moving freely with the use of mobility aids.  Furniture was well arranged to facilitate this.  All dining rooms and lounges can accommodate specialised lounge chairs.  Seating and space is arranged to allow both individual and group activities to occur in each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personal clothing is laundered on site.  There are designated laundry personnel.  There are defined clean/dirty areas.  Cleaners’ trolleys are stored in locked areas when not in use.  There were adequate linen supplies sighted in the facility linen-store cupboards.  Internal audits monitor the effectiveness of laundry and cleaning processes.  The chemical provider audits the effectiveness of chemicals for laundry and cleaning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are happy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emergency/disaster plans in place to guide staff in managing emergencies and disasters.  Emergencies, first aid and CPR are included in the mandatory in-service programme.  There is a first aid trained staff member on every shift.  The facility has an approved fire evacuation plan and fire drills occur six-monthly.  The last fire evacuation drill occurred on 1 December 2016.  Smoke alarms, sprinkler system and exit signs are in place.  The service has alternative gas facilities for cooking in the event of a power failure, with a backup system for emergency lighting and battery backup.  There are civil defence kits in the facility and stored water.  Call bells are evident in residents’ rooms, lounge areas and toilets/bathrooms.  The facility is secured at night and security patrols are conducted by a security firm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heat pumps and air conditioning in the communal areas.  Ceiling radiators were observed in resident’s rooms.  All communal areas and bedrooms are well ventilated and light.  Residents and family interviewed, stated the temperature of the facility is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is appropriate for the size, complexity and degree of risk associated with the service. Staff are well informed about infection control practises and reporting. The care home manager is the infection control officer and is responsible for infection control across the facility.  The committee and the Bupa governing body are responsible for the development of the infection control programme and its review.  The infection control programme is well established at Bupa Gladys Mary.  The infection control committee consists of a cross-section of staff and there is external input as required from general practitioners, public health and the Bupa quality &amp; risk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Bupa Gladys Mary.  The infection control (IC) officer has maintained best practice by attending external infection control seminars.  The infection control team is representative of the facility.  External resources and support are available through the Bupa quality &amp; risk team when required.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officer is responsible for coordinating/providing education and training to staff.  Orientation package includes specific training around hand hygiene and standard precautions.  Infection control training is regularly held, including (but not limited to) outbreak management (April 2016), and infection prevention &amp; control and hand hygiene in November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has access to the Bupa intranet with resources, guidelines best practice and group benchmarking.  A number of toolbox talks have been provided including (but not limited to) preventing UTIs and hand hygiene.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officer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Internal infection control audits also assist the service in evaluating infection control needs. There is close liaison with the general practitioners and the infection control practitioner at the DHB that advise and provide feedback/information to the service.  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Effective monitoring is the responsibility of the infection control coordinator. This includes audits of the facility, hand hygiene and surveillance of infection control events and infections.  Surveillance data is available to all staff.  Infections statistics are included for benchmarking.  Corrective actions are established where trends are identified.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includes the definitions of restraint and enablers, which is congruent with the definitions in NZS 8134.0.  The policy includes comprehensive restraint procedures.  Interviews with the caregivers confirm their understanding of restraints and enablers.  The service remains restraint and enabler free.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51"/>
        <w:gridCol w:w="1280"/>
        <w:gridCol w:w="6801"/>
        <w:gridCol w:w="1627"/>
        <w:gridCol w:w="18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total of twenty caregivers are employed to work in the dementia unit with eighteen having completed their national dementia qualification.  One caregiver is in the process of completing their dementia standards qualification and has been employed for less than 12 months. One caregiver has not completed the required dementia standards.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total of twenty caregivers are employed to work in the dementia unit.  One caregiver has not completed the dementia standards and has worked in the unit for longer than 12 months.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caregivers working in the dementia unit have completed the required standards as per the ARC contract.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services medication management policy outlines the policies and practices to be followed in relation to medication management. Staff interviewed who administer medication could describe safe medication management and administration practices.  Medication is stored in locked trolleys in locked rooms in each clinical area.  There is a process in place for the reconciliation of medication including the checking of new medication packs and for the return of medication to pharmacy.  The medication fridge temperatures were evidenced to be checked and recoded daily.  Two of fourteen medication signing charts did not align with the medication chart.  Three of fourteen medication charts did not document the indications for the use of ‘as needed’ medication prescribed.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Three of fourteen medication charts reviewed (two dementia and one rest home) did not document the indication for use of prescribed ‘as required’ medication; and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Two medication signing charts (dementia) did not evidence that medication (nutritional supplement) had been given as prescribed.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indications for use of ‘as needed’ medications are documented on medication charts, to include any extra guidance to ensure safe administration. (ii) Ensure medications are administered as prescribed.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28"/>
        <w:gridCol w:w="1280"/>
        <w:gridCol w:w="1114"/>
        <w:gridCol w:w="92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Gladys Mary is active in analysing data collected monthly, around accidents and incidents, infection control, restraint etc.  Example: Falls were noted to be high in 2015; statistics showed that they were above the organisational benchmark for falls in the rest home.  As part of their corrective actions, they started a falls focus group.  The group analyses the incidents further, to assist in identifying any trends and looks at additional activities that would focus on these trends and reduce their rate of falls.  They sourced and then distributed falls preventative information via the residents’ newsletter and also displayed this information on the residents’ noticeboards as a point of focus.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education for staff around moving and handling training was provided in order to capture as many of the qualified nurses and caregiving staff as possible.  Ensure thorough assessment and review of resident’s mobility and transfer needs and ensure care staff are aware.  Education sessions via toolbox talks were delivered by RNs to care staff during handovers.  This information covered fluid intake and for residents to be invited to join exercise classes/programme in the facility.  The GP was spoken to about all residents who were assessed as high risk and prescriptions for Vitamin D supplements were completed.  The service uses sensor mats for any residents who are at high risk of falling if transferring unattended.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evaluation of the effectiveness of these measures, they noted a drop in falls incidents in the rest home in from 1st July to end of December 2016, 43, falls were recorded compared to 57 falls in the previous six month period in 2015.  These findings were discussed at the upcoming clinical and quality meetings and monthly residents’ newsletters.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Another quality initiative has been established around, decreasing skin tears for residents in the rest home by 50%.  Strategies have been implemented and evaluations to date show:  From the 1st July to the end of December 2016 there were 7 skin tears recorded compared to the previous six month period in 2015 when there were 22, so there has been a significant reduction seen.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Gladys Mary Rest Home</w:t>
    </w:r>
    <w:bookmarkEnd w:id="58"/>
    <w:r>
      <w:rPr>
        <w:rFonts w:cs="Arial"/>
        <w:sz w:val="16"/>
        <w:szCs w:val="20"/>
      </w:rPr>
      <w:tab/>
      <w:t xml:space="preserve">Date of Audit: </w:t>
    </w:r>
    <w:bookmarkStart w:id="59" w:name="AuditStartDate1"/>
    <w:r>
      <w:rPr>
        <w:rFonts w:cs="Arial"/>
        <w:sz w:val="16"/>
        <w:szCs w:val="20"/>
      </w:rPr>
      <w:t>31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