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Discover Oasis Limited - Concord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Discover Oasis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Concord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2017</w:t>
      </w:r>
      <w:bookmarkEnd w:id="7"/>
      <w:r w:rsidRPr="009418D4">
        <w:rPr>
          <w:rFonts w:cs="Arial"/>
        </w:rPr>
        <w:tab/>
        <w:t xml:space="preserve">End date: </w:t>
      </w:r>
      <w:bookmarkStart w:id="8" w:name="AuditEndDate"/>
      <w:r w:rsidR="00A4268A">
        <w:rPr>
          <w:rFonts w:cs="Arial"/>
        </w:rPr>
        <w:t>31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Concord House provides rest home level care for up to 15 residents.  On the day of the audit there were eight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facility manager is supported by a registered nurse.  Residents and family interviewed were complimentary of the service they receive.  </w:t>
      </w:r>
    </w:p>
    <w:p w:rsidRPr="00A4268A">
      <w:pPr>
        <w:spacing w:before="240" w:line="276" w:lineRule="auto"/>
        <w:rPr>
          <w:rFonts w:eastAsia="Calibri"/>
        </w:rPr>
      </w:pPr>
      <w:r w:rsidRPr="00A4268A">
        <w:rPr>
          <w:rFonts w:eastAsia="Calibri"/>
        </w:rPr>
        <w:t xml:space="preserve">This certification audit identified that improvements are required in relation to signed admission agreements, essential notification, human resources, timeframes, care interventions, self-medication documentation, material safety datasheets, and environmental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support rights such as privacy, dignity, abuse and neglect, culture, values and beliefs, complaints, advocacy and informed consent.  Care planning accommodates individual choices of residents and/or their family/whānau.  Residents are encouraged to maintain links with their community.  The process around managing complaints meets HDC requirements.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and implemented.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Registered nursing cover is available on site or on call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prior to entry.  An information pack is available for residents/families/whānau at entry.  Assessments, care plans and evaluations are completed by the registered nurse using InterRAI.  Short-term care plans are in use for health changes.   </w:t>
      </w:r>
    </w:p>
    <w:p w:rsidRPr="00A4268A" w:rsidP="00621629">
      <w:pPr>
        <w:spacing w:before="240" w:line="276" w:lineRule="auto"/>
        <w:rPr>
          <w:rFonts w:eastAsia="Calibri"/>
        </w:rPr>
      </w:pPr>
      <w:r w:rsidRPr="00A4268A">
        <w:rPr>
          <w:rFonts w:eastAsia="Calibri"/>
        </w:rPr>
        <w:t xml:space="preserve">There is an individual and group activities programme running.  The group activities programme is overseen by a diversional therapist and implemented by caregivers.  </w:t>
      </w:r>
    </w:p>
    <w:p w:rsidRPr="00A4268A" w:rsidP="00621629">
      <w:pPr>
        <w:spacing w:before="240" w:line="276" w:lineRule="auto"/>
        <w:rPr>
          <w:rFonts w:eastAsia="Calibri"/>
        </w:rPr>
      </w:pPr>
      <w:r w:rsidRPr="00A4268A">
        <w:rPr>
          <w:rFonts w:eastAsia="Calibri"/>
        </w:rPr>
        <w:t>There is an established system of medicines management in place.  The caregivers and the registered nurse have completed medication competencies.</w:t>
      </w:r>
    </w:p>
    <w:p w:rsidRPr="00A4268A" w:rsidP="00621629">
      <w:pPr>
        <w:spacing w:before="240" w:line="276" w:lineRule="auto"/>
        <w:rPr>
          <w:rFonts w:eastAsia="Calibri"/>
        </w:rPr>
      </w:pPr>
      <w:r w:rsidRPr="00A4268A">
        <w:rPr>
          <w:rFonts w:eastAsia="Calibri"/>
        </w:rPr>
        <w:t xml:space="preserve">Food services policies and procedures are appropriate to the service setting.  Resident's individual dietary needs are identified, documented and reviewed on a regular basis.  </w:t>
      </w:r>
    </w:p>
    <w:p w:rsidRPr="00A4268A" w:rsidP="00621629">
      <w:pPr>
        <w:spacing w:before="240" w:line="276" w:lineRule="auto"/>
        <w:rPr>
          <w:rFonts w:eastAsia="Calibri"/>
        </w:rPr>
      </w:pPr>
      <w:r w:rsidRPr="00A4268A">
        <w:rPr>
          <w:rFonts w:eastAsia="Calibri"/>
        </w:rPr>
        <w:t xml:space="preserve">Residents and family members interviewed were complimentary about service delivery.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is two stories.  Residents use the ground floor (upper) area.  The basement, which is not used for residents, contains the laundry, storage and the facility manager’s office.  Access to the basement is locked.  The building has a current warrant of fitness.  </w:t>
      </w:r>
    </w:p>
    <w:p w:rsidRPr="00A4268A">
      <w:pPr>
        <w:spacing w:before="240" w:line="276" w:lineRule="auto"/>
        <w:rPr>
          <w:rFonts w:eastAsia="Calibri"/>
        </w:rPr>
      </w:pPr>
      <w:r w:rsidRPr="00A4268A">
        <w:rPr>
          <w:rFonts w:eastAsia="Calibri"/>
        </w:rPr>
        <w:t xml:space="preserve">Systems and supplies are in place for essential, emergency and security services.  There is a staff member on duty at all times with a current first aid/CPR certificate. </w:t>
      </w:r>
    </w:p>
    <w:p w:rsidRPr="00A4268A">
      <w:pPr>
        <w:spacing w:before="240" w:line="276" w:lineRule="auto"/>
        <w:rPr>
          <w:rFonts w:eastAsia="Calibri"/>
        </w:rPr>
      </w:pPr>
      <w:r w:rsidRPr="00A4268A">
        <w:rPr>
          <w:rFonts w:eastAsia="Calibri"/>
        </w:rPr>
        <w:t xml:space="preserve">Resident’s rooms were individualised.  All rooms are single occupancy except for one room, which is a double room that was not occupied on the day of audit.  External areas on the grounds were safe.  The facility has a van available for transportation of residents.  There is a main lounge and separate dining room.  There are adequate communal toilets and showers.  Fixtures, fittings and flooring are appropriate for rest home level care.  Residents were satisfied with the cleaning and laundry services.  Chemicals were stored securely.  The temperature of the facility was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suitable for the facility.  The programme is led by the registered nurse with support from the facility manager, staff and external agencies.  The programme is based upon defined policies and procedures.  General practitioners are actively involved in the management of residents with suspected infections.  Three staff have attended education on infection prevention and control within the last year.  Infections are monitored and practice is reviewed every month.  Trends are able to be identified.  There have been no outbreaks of infection in the rest home in the period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6"/>
        <w:gridCol w:w="1280"/>
        <w:gridCol w:w="92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The facility manager and three care staff interviewed (two caregivers, one registered nurse)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resuscitation and advanced directives.  Residents are required to sign an admission agreement on entry to the service.  The service uses an industry template which includes the requirements of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files reviewed included signed agreements.  Each file included signed consents and resuscitation instructions.  Staff were aware of advanced directives.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brochures are included in the information provided to new residents and their family/whānau during their entry to the service.  Residents and family interviewed understood their right to advocacy services.  The complaints process is linked to advocacy services.  Staff have received recent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which was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established with community organisations (eg, Alzheimer’s Association, local churches).  Some of the residents regularly visit nearby cafes and shops.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the resident’s entry to the service.  Access to complaints forms are available.  No complaints have been received since the new owners purchased the facility in March 2016.  Discussions with residents and families/whānau confirmed that they were provided with information on the complaints process and remarked that any concerns or issues they had were addressed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facility manager discusses aspects of the Code with residents and their family on admission.  All three residents and two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Privacy signage is on communal toilet and shower doors.  Residents’ rooms are single use with one double room available but not in use.  Privacy curtains are installed in the double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and are covered in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Māori health plan is documented for the service.  The care staff interviewed reported that they value and encourage active participation and input from the family/whānau in the day-to-day care of the residents.  There were no residents living at the facility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five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discussed with each new employee during their induction to the service, confirmed during interviews with the facility manager and staff.  Professional boundaries are described in job descriptions which were sighted for each position but were not individually signed by staff (link 1.2.7.4).  Interviews with the staff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contracted to work on site 10 – 20 hours per week and on call 24 hours a day, seven days a week.  All resident rooms are of a good standard.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Residents and family/whānau interviewed reported that they are either satisfied or very satisfied with the services received.  A resident/family satisfaction survey is completed annually and confirmed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The facility manager attends regular aged care related cluster meetings which assists her with the management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homely environment allows for close relationships between the staff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staff interviewed understood about open disclosure and providing appropriate information when required.  Evidence of communication with family is documented in the residents’ electronic files.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Eight accident/incident forms reviewed reflected documented evidence of families being informed following an adverse event, evidenced on the electronic communication sheet.  Plans are in place to add this level of detail into the accident/incident form.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eight residents living at the facility, three are Chinese speaking.  Interpreter services are available if required through the district health board.  Families and staff are utilised in the first instance.  Signage is posted in visible locations in English and Chinese.  One Chinese resident was interviewed with the assistance of an interpreter.  She reported that communication is adequate to meet her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Concord House provides rest home level of care for up to 15 residents.  On the day of audit there were eight residents including one younger person under 65 years and one resident under ACC funding.  </w:t>
            </w:r>
          </w:p>
          <w:p w:rsidR="00EB7645" w:rsidRPr="00BE00C7" w:rsidP="00BE00C7">
            <w:pPr>
              <w:pStyle w:val="OutcomeDescription"/>
              <w:spacing w:before="120" w:after="120"/>
              <w:rPr>
                <w:rFonts w:cs="Arial"/>
                <w:b w:val="0"/>
                <w:lang w:eastAsia="en-NZ"/>
              </w:rPr>
            </w:pPr>
            <w:r w:rsidRPr="00BE00C7">
              <w:rPr>
                <w:rFonts w:cs="Arial"/>
                <w:b w:val="0"/>
                <w:lang w:eastAsia="en-NZ"/>
              </w:rPr>
              <w:t>The business was purchased by the new owners in March 2016.  A 2016 – 2018 business plan includes the service’s mission, philosophy of care, values and vision.  Goals are documented around occupancy, staff turnover and the facility’s reputation with the community.  Goals are regularly reviewed with the owners and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daughter of the owners.  She holds a degree in architecture.  This is her first role in aged care.  She was orientated to the business by the previous owners and with the assistance of an external consultant.  She attends DHB aged-related cluster meetings every two months and has completed over eight hours of education relating to managing a rest home since March 2016.  She is assisted by an RN who is employed to work 10 – 20 hours per week and is on call when not available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are delegated responsibility in the absence of the facility manager with oversight provided by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has been established.  Policies and procedures align with current good practice and meet legislative requirements.  Policies have been updated to reflect processes around InterRAI and pressure injuries.  They are regularly reviewed as per the document review schedule and are becoming embedded into practice.  A system for document control is in place.  New policies and updates to existing policies are discussed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programme includes the collection of data and the completion of internal audits.  An internal audit programme is established.  Adverse event data (eg, falls, infections, skin tears, bruising) is collated and compared month by month (sighted for 2016).  Quality data and results, including any resident feedback, is reported in the monthly staff meetings, evidenced in the meeting minutes and in interviews with five staff (three care staff, one cook, one cleaner/laundry).  Where improvements are identified, corrective actions are documented, implemented and signed off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have been reviewed since the new legislation has come into effect.  Interviews were conducted with the health and safety officer who is the facility manager.  Staff receive health and safety training, which begins during their induction to the service and was documented in all five staff files reviewed.  Health and safety is a regular topic covered in the monthly staff meetings.  Actual and potential risks are documented on the hazard register, which identifies risk ratings and documents actions to eliminate or minimise the risk.  Contractors are inducted into the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Residents at risk of falling are discussed in the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Individual reports are completed for each incident/accident with immediate action noted.  Observations are recorded for suspected injuries to the head.  Incident/accident data is linked to the quality and risk management programme.  Eight accident/incident forms were reviewed.  Each event involving a resident reflected follow-up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Statutory responsibilities are documented in policy but the facility manager was unaware of her responsibilities.  A section 31 report was not completed following two separate police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and procedures are established and are gradually becoming embedded into practice.  All five staff files reviewed (one RN, four caregivers) included evidence of signed employment contracts and police vetting.  Missing was documented evidence of interviews and reference checking although the facility manager confirmed that both occur.  Job descriptions were sighted but there was no evidence to confirm that they had been reviewed and signed by new staff.  </w:t>
            </w:r>
          </w:p>
          <w:p w:rsidR="00EB7645" w:rsidRPr="00BE00C7" w:rsidP="00BE00C7">
            <w:pPr>
              <w:pStyle w:val="OutcomeDescription"/>
              <w:spacing w:before="120" w:after="120"/>
              <w:rPr>
                <w:rFonts w:cs="Arial"/>
                <w:b w:val="0"/>
                <w:lang w:eastAsia="en-NZ"/>
              </w:rPr>
            </w:pPr>
            <w:r w:rsidRPr="00BE00C7">
              <w:rPr>
                <w:rFonts w:cs="Arial"/>
                <w:b w:val="0"/>
                <w:lang w:eastAsia="en-NZ"/>
              </w:rPr>
              <w:t>A general orientation programme that includes health and safety is being implemented that provides new staff with relevant information for safe work practice, evidenced in the five staff files reviewed.  Missing was documented evidence that staff have completed their job specific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practising certificates were sighted for the RN, GP, physiotherapist and pharmacy.  There is an annual education schedule that is being implemented.  Individual staff attendance records are maintained.  Education completed in 2016 included attending external DHB training (wound management, pressure injury prevention management, manual handling, first aid/CPR, code of rights, medication management, controlled drug administration, food safety, fire, confidentiality).  Additional topics are scheduled to be covered in the 2017 two-yearly education schedule. The RN has completed her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A RN is contracted to work at the facility 10 – 20 hours per week depending on need.  She is on site two – three days per week although was unavailable during the audit.  When not available on site, she is available on-call and was interviewed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One caregiver is rostered for each shift.  Staffing is flexible to meet the acuity and needs of the residents. Separate staff are responsible for cleaning/laundry (Monday – Friday).   Interviews with residents and family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Residents’ records are documented using an electronic format with electronic back-up systems implemented.  Entries are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criteria are documented in the welcome pack.  The welcome pack is provided to all prospective residents and their families before admission outlining services available.  There are policies, associated procedures and forms used to guide the admission process.  The facility manager informs all prospective admissions about the need to be assessed by a needs assessment agency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residents interviewed stated that they had received sufficient information prior to and on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admission agreement aligns with the ARC requirements and includes exclusions from the service that are listed as additional services for which additional charges may be incurred.  Signed admission agreements were missing in two of five residents’ files (link to 1.1.10. 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policies and procedures in place.  The procedures include the use of the DHB developed (ie, ‘yellow envelope’) system to manage information during transfer and discharges.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medicines are prescribed by the residents’ GPs (confirmed in review of all eight residents’ medicine charts).  All medication charts are pharmacy-generated, recorded correctly and signed correctly by the resident’s general practitioner.  Allergy status is recorded.  Medicines are administered as prescribed by caregivers and signed for correctly.  A medicine round was not witnessed as no residents required medicine administration at lunchtime.  All medicines are stored securely when not in use.  The facility uses the blister pack medication management system.  Medicines are typically delivered every four weeks usually, unless additional medicines are needed.  Medicines are reconciled on delivery by the RN prior to use.  All medication charts are legible and reviewed three monthly.  There are appropriate medication policies and procedures in place including policy for residents who self-administer their medicines.  Two subsidised residents were self-administering medicines.  Standing orders were not in use.</w:t>
            </w:r>
          </w:p>
          <w:p w:rsidR="00EB7645" w:rsidRPr="00BE00C7" w:rsidP="00BE00C7">
            <w:pPr>
              <w:pStyle w:val="OutcomeDescription"/>
              <w:spacing w:before="120" w:after="120"/>
              <w:rPr>
                <w:rFonts w:cs="Arial"/>
                <w:b w:val="0"/>
                <w:lang w:eastAsia="en-NZ"/>
              </w:rPr>
            </w:pPr>
            <w:r w:rsidRPr="00BE00C7">
              <w:rPr>
                <w:rFonts w:cs="Arial"/>
                <w:b w:val="0"/>
                <w:lang w:eastAsia="en-NZ"/>
              </w:rPr>
              <w:t>Competency for caregivers who administer medicines is assessed annually when due by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plan in place. Three cooks are employed to cover seven days.  The cooks work from 9 am to 1 pm and 3 pm to 6 pm.  The majority of food is prepared and cooked on site.  The cooks prepare meals to meet both European and Asian preferences reflecting the resident cultural mix.  Daily monitoring records are maintained of refrigeration and freezer temperatures.  Food is served directly to residents in the adjourning dining room.  Food services policies and procedures are appropriate to the service setting.  There are four weekly menus in place that have been approved by a dietitian.  A dietitian has conducted a menu audit on 19 April 2016, has reviewed and changed the menu and has made some recommendations which relate to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kept in the kitchen.  Resident preferences are accommodated and dislikes accommodated.  Special equipment is available as needed.  Additional fluids and food are available for residents when the kitchen is closed.  There are no residents requiring special diets at present.  Residents and family members interviewed were complimentary of the food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reported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this be necessary.  The manager has not had to decline admission to anyone who is seeking rest home level care.  If a person was declined then the reason for declining entry would be recorded and communicated to the resident/family/whānau and alternative options suggested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nursing assessment and initial care plan is required by policy to be completed within 24 hours of admission by the registered nurse (link 1.3.3.3).  Personal needs, outcomes and goals of residents are identified.  There are a range of assessment tools completed on admission, which include a general assessment, a pain assessment, a continence assessment, a falls risk assessment and a pressure injury assessment.  The assessment tools link to the individual care plans.  Cultural needs (including language) are recorded in the InterRAI assessment notes and are reflected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reported that staff understood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assessment summary (which includes triggered clinical assessment protocols (CAPs), outcome scores and the needs identified by the registered nurse’s clinical judgement) informs the development of the care plan.  All five care plans reviewed referenced the identified CAPs.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a high risk CAP referenced in the care plan but did not have any specified interventions recorded to guide staff on how to manage that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individually developed with the resident and/or family/whānau. </w:t>
            </w:r>
          </w:p>
          <w:p w:rsidR="00EB7645" w:rsidRPr="00BE00C7" w:rsidP="00BE00C7">
            <w:pPr>
              <w:pStyle w:val="OutcomeDescription"/>
              <w:spacing w:before="120" w:after="120"/>
              <w:rPr>
                <w:rFonts w:cs="Arial"/>
                <w:b w:val="0"/>
                <w:lang w:eastAsia="en-NZ"/>
              </w:rPr>
            </w:pPr>
            <w:r w:rsidRPr="00BE00C7">
              <w:rPr>
                <w:rFonts w:cs="Arial"/>
                <w:b w:val="0"/>
                <w:lang w:eastAsia="en-NZ"/>
              </w:rPr>
              <w:t>All care plans are held electronically in the patient management system.  All care staff have computer access and document progress notes in the computerised software.  All care plans reviewed recorded sufficient detail to guide care staff.  Short-term care plans were evidenced in use for short-term needs such dry skin, mobility issues and weight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are involved in the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guided by the resident’s plan of care.  When a resident’s health status changes the RN or facility manager initiates a GP consultation.  Short-term care plans are used for residents with short-term needs.  Clinical specialists from the DHB are available to provide clinical advice and support.  Other specialist involvement, including the mental health service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stated the services provided met their expectations and the needs of their relatives.  Family also confirmed they are notified promptly of any health changes to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that they have sufficient equipment to provide care as instructed in the care plans.  Clinical supplies are available including adequate wound care and continence products.  There were no wounds or pressure injuries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Chair scales are used to weigh residents monthly or more frequently if necessary.  Weights are recorded in the electronic patient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employed part-time to oversee the group activities programme.  The diversional therapist visits monthly to develop the programme, which is provided by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conducts the social assessment and reviews the resident’s individual activities programme as part of the InterRAI evaluation/reassessment process.  All residents have an individual social activities plan developed shortly after admission. They can choose to participate in the group programme or they are encouraged to choose an activity from their individual programme.  There is flexibility in the programme for offsite group activities and van rides.  The programme includes occasional entertainers.    Caregivers supervise and escort residents who wish to go for daily walks or van rides.  The business owns a seven seater van, which can accommodate five residents, a driver and a staff member.  Group activities are held in the lounge.  Residents were observed participating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process at least six monthly.  Two of the five residents had been reassessed within the last six months. The others had yet to require a six monthly evaluation. The RN reassesses residents if there has been a significant change in their health status.  The GPs review residents three monthly or when requested. Short-term care plans are in use and evaluated regularly.  Care plans are goal orientated and evaluated at six monthly intervals and document progress against the resident goals.  The review dates are recorded in the InterRAI documentation.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reported that they are involved when staff evaluate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medical and non-medical services.  Residents, family and the resident’s GP are informed of any referrals.  Referrals to medical specialists are made by the resident’s GP in consultation with the registered nurse.  Relatives and residents interviewed stated they are informed of referrals required to other services and are provided with options and choice of service provider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for waste management, waste disposal for general waste and medical waste management.  All chemicals are labelled with manufacturer labels.   Chemicals are stored safely.  Gloves, aprons and goggles are available for staff.  Staff were observed to be wearing appropriate personal protective clothing when carrying out their duties.  Material safety datasheets could not be located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22 July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a two-storey building consisting of a ground (ie, upper) floor and a basement area. All resident areas are located on the ground (ie, upper) floor. All resident rooms are single occupancy except for one room, which was not occupied on the day of audit. There are six bedrooms downstairs that are used by five boarders and the facility manager who lives onsite.  The basement/downstairs area contains the facility manager’s office, the laundry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reactive and a planned maintenance system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checks are monitored in resident bathroom/shower areas monthly.  Records of temperatures sighted were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including the electronic sitting scales have been calibrated and tested in April 2016.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safely mobilise throughout the facility with easy access to communal areas.  There is safe access to outdoor areas and decks.  The external area provides seating and shade. Two of the current eight residents who have dementia are at risk of wandering off the premises.  Two of three external doors/gates have safety locks installed to minimise the risk of these residents’ wandering (link 2.1.1.4).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there was adequate equipment and supplies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there are two communal showers.  The toilets and showers are identifiable and include vacant/in-use signs.  Shower rooms have acceptable materials to support good hygiene and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thirteen single bedrooms and one double bedroom available for rest home residents.  Bedrooms are spacious enough to meet the assessed resident needs.  Residents are able to manoeuvre safely around the room with the use of mobility aids.  The rooms are of sufficient size to permit cares to take place.  Residents are encouraged to personalise their bedrooms.  The bedroom furnishings were appropriate for the resident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main lounge and a dining room located close to the kitchen in the resident areas.  All communal areas are easily accessible for the residents.  The furnishings and seating are appropriate for the resident group.  Residents were seen to be moving freely within the communal areas throughout the audit.  Residents interviewed report they can move freely around the facility and staff can assist them if required.  Indoor group activities take place 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and linen are laundered on site by the cleaning staff in the laundry, which is located downstairs.  The facility manager monitors the effectiveness of laundry and cleaning processes.  Residents and relatives interviewed expressed satisfaction with cleaning and laundry services.  There is a dedicated cleaner employed for four hours a day Monday – Friday.  Cleaning equipment is stored safely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includes fire and security training as part of the health and safety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General living areas and resident rooms are appropriately heated (central and space heating) and ventilated with doors that open out onto the decks and windows.  Residents and family interviewed stated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prevention and control is held by a registered nurse with a current practising certificate.  There are clear lines of accountability for infection prevention and control matters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infection control programme that was reviewed on 5 January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and/or residents and visitors suffering from, or exposed to and susceptible to, infectious diseases are prevented from exposing others while infectious where possible.  Visitors who are unwell are asked not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team consists of the Facility Manager, the RN, and the caregivers.  The team have access to GPs and staff from the DHB infection prevention and control team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range of written policies and procedures for the prevention and control of infection which comply with relevant legislation and current accepted good practice.  These policies were developed by an external contractor.  Policies and procedures are reviewed by the IPC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receives education on IPC. The RN completed an e-learning programme on 27 May 2016. There was evidence of two of the other staff (ie, a caregiver and the facility manager) having attended education on infection prevention and control within the last year. The facility manager reported that more staff had attended the same external training as she attended but she was unable to demonstrate evidence of their attendance on the day of audit. Informal education on infection prevention and control is provided to staff and residents by the RN as infections occur. Formal education as specified on the education schedule is on the two yearly schedule for 2017. The number of infections is low. Resident education occurs as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Infections are managed in consultation with the resident’s GP. They are recorded on a monthly register. The infection control coordinator and facility manager collate information obtained through surveillance. The infection rate is low with urinary tract infections being the most common type of infection. Short-term care plans are completed for all infections.  Infection control data are discussed at both the management and staff meetings.  Systems in place are appropriate to the size and complexity of the facility. There have been no outbreaks of infection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and environmental restraint.  The facility manager is the designated restraint coordinator.  A lock was on the front and one side gate preventing two residents suffering with dementia from freely exiting.  A third exit is reported as not known to these two residents and allows for the other residents to freely enter and exit.  Environmental restraint procedures had not been implemented for the two identified residents.  There were no other restraints or enablers in use.</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understand the difference between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7"/>
        <w:gridCol w:w="1280"/>
        <w:gridCol w:w="4491"/>
        <w:gridCol w:w="3394"/>
        <w:gridCol w:w="25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is that each resident (or their legal representative) is required to sign an admission agreement on the day of admission.  The admission agreement contains consents.  In addition, separate consents are sought to guide staff on the any advanced directives the residents may have directed.  All five residents in the sample had signed directives regarding resuscitation in place.  Missing was evidence of signed admission agreements in a sample of the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residents’ files reviewed did not have signed admission agreements on file for the current admission.  One of the two residents had an agreement signed covering a previous respite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resident signs an admission agreement on the day the resident receives services or in the case of an emergency admission within 10 working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statutory and regularly obligations are defined in policy, the facility manager was unaware that a section 31 report is required to be completed if police conduct an investigation.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was unclear regarding the situations that required the completion of a section 31 report.  There were two instances where police were contacted to investigate a situation and a section 31 report had not been completed in either instance.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statutory and/or regulatory obligations in relation to essential notification reporting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the appointment of appropriate staff includes an interview, police vetting, and reference checking but this is not documented.  Also missing was evidence that each new staff had signed their job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requires staff to undergo a formal interview, police vetting and reference checking.  The interview and reference checking are not documented.  Also missing was evidence of signed job descriptions.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each staff file includes evidence of an interview, reference checking and a signed job description.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in place that includes orientation to health and safety and being buddied with more experienced staff for job specific duties.  Health and safety processes are signed off by the new employee but components to indicate that staff have completed their job-specific orientation are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were missing evidence to indicate that they had completed a job-specific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content of the job-specific orientation programme is documented and signed by both parties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are self-administering their own medicines. They have been assessed as capable by the RN and their GP. They have both signed an agreement to self-administer their medicines. They both have locked storage areas in their bedrooms.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formal identification documented by the GP on the medication orders for the two residents who are self-administering medicines, and there is no system in place to show that staff check with each resident that they have taken their medicines on each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GP records on the medicine orders of each resident that the resident is self-administering all or part of their medicines, and ensure that there is a system in place to show that staff check that the residents have taken their medicines on each shift when due.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is that residents are assessed by the registered nurse on admission and an initial plan of care is developed to guide staff.  A range of assessments are conducted on admission by the RN and shortly thereafter to inform the InterRAI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required be assessed by a medical practitioner within two working days of admission.  The RN is required to complete the InterRAI assessment process within 21 days of admission.  Resident files reviewed did not reflect that all documentation is completed within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One of three residents admitted since the previous audit did not have an initial assessment completed by the RN within 24 hours of admission. The other two residents were admitted many years ago and archived records were not reviewed.</w:t>
            </w:r>
          </w:p>
          <w:p w:rsidR="00EB7645" w:rsidRPr="00BE00C7" w:rsidP="00BE00C7">
            <w:pPr>
              <w:pStyle w:val="OutcomeDescription"/>
              <w:spacing w:before="120" w:after="120"/>
              <w:rPr>
                <w:rFonts w:cs="Arial"/>
                <w:b w:val="0"/>
                <w:lang w:eastAsia="en-NZ"/>
              </w:rPr>
            </w:pPr>
            <w:r w:rsidRPr="00BE00C7">
              <w:rPr>
                <w:rFonts w:cs="Arial"/>
                <w:b w:val="0"/>
                <w:lang w:eastAsia="en-NZ"/>
              </w:rPr>
              <w:t>2. The three residents who were admitted since the previous audit did not have an InterRAI completed within 21 days.  However all three did have an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3. The three residents admitted since the previous audit had not been assessed by a GP within 2 working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all newly admitted residents are assessed on admission by an RN.</w:t>
            </w:r>
          </w:p>
          <w:p w:rsidR="00EB7645" w:rsidRPr="00BE00C7" w:rsidP="00BE00C7">
            <w:pPr>
              <w:pStyle w:val="OutcomeDescription"/>
              <w:spacing w:before="120" w:after="120"/>
              <w:rPr>
                <w:rFonts w:cs="Arial"/>
                <w:b w:val="0"/>
                <w:lang w:eastAsia="en-NZ"/>
              </w:rPr>
            </w:pPr>
            <w:r w:rsidRPr="00BE00C7">
              <w:rPr>
                <w:rFonts w:cs="Arial"/>
                <w:b w:val="0"/>
                <w:lang w:eastAsia="en-NZ"/>
              </w:rPr>
              <w:t>2. Ensure all newly admitted residents have an InterRAI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3  Ensure all newly admitted residents are assessed by a GP within 2 working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has an electronic care plan, which is developed by the RN following the resident’s InterRAI assessment. The electronic plan of care is accessible to caregivers. Caregivers record progress notes electronically at the end of each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had a high risk clinical assessment identified during their InterRAI assessment, which was documented in their plan of care.  However there was no corresponding intervention specified in the plan of care against the high risk assessment to guide staff on how to manage the resident’s high risk issue.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plans describe the required support and interventions that staff need to follow when providing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staff on the safe and appropriate management of waste and hazardous substances.  Policy requires that staff have access to material safety datasheets for all chemicals used on site.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was unaware of where the material safety datasheets were located for sighting on the day of the audit.  The cleaner found them in the sluice room the following day after the audit had finished.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location of the material safety datasheets are known to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enablers or restraints in place other than environmental restraint for two residents suffering with dementia.  The facility manager reported that the remaining residents can freely exit and enter the facility through a side door unknown to the two residents with cognitive impairments.  This was confirmed in an interview with one resident who regularly leaves the facility on outings.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due to their dementia, are unable to open the front and side (locked) gates and therefore cannot freely enter/exit the facility.  Environmental restraint is covered in policy but the procedures around environmental restraint had not been implemented for either of these residents.  Advised, that since the audit the locks have been removed.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environmental restraint procedures are implemented for any resident who is unable to freely leave the grounds of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Discover Oasis Limited - Concord House Rest Home</w:t>
    </w:r>
    <w:bookmarkEnd w:id="58"/>
    <w:r>
      <w:rPr>
        <w:rFonts w:cs="Arial"/>
        <w:sz w:val="16"/>
        <w:szCs w:val="20"/>
      </w:rPr>
      <w:tab/>
      <w:t xml:space="preserve">Date of Audit: </w:t>
    </w:r>
    <w:bookmarkStart w:id="59" w:name="AuditStartDate1"/>
    <w:r>
      <w:rPr>
        <w:rFonts w:cs="Arial"/>
        <w:sz w:val="16"/>
        <w:szCs w:val="20"/>
      </w:rPr>
      <w:t>31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