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Forrest Hill Continuing Care Limited - Forrest Hill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Forrest Hill Continuing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Forrest Hill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January 2017</w:t>
      </w:r>
      <w:bookmarkEnd w:id="7"/>
      <w:r w:rsidRPr="009418D4">
        <w:rPr>
          <w:rFonts w:cs="Arial"/>
        </w:rPr>
        <w:tab/>
        <w:t xml:space="preserve">End date: </w:t>
      </w:r>
      <w:bookmarkStart w:id="8" w:name="AuditEndDate"/>
      <w:r w:rsidR="00A4268A">
        <w:rPr>
          <w:rFonts w:cs="Arial"/>
        </w:rPr>
        <w:t>11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Forrest Hill Home and Hospital is privately owned. It offers hospital and rest home level care services for up to 62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families/whānau, one general practitioner, management and staff. </w:t>
      </w:r>
    </w:p>
    <w:p w:rsidRPr="00A4268A">
      <w:pPr>
        <w:spacing w:before="240" w:line="276" w:lineRule="auto"/>
        <w:rPr>
          <w:rFonts w:eastAsia="Calibri"/>
        </w:rPr>
      </w:pPr>
      <w:r w:rsidRPr="00A4268A">
        <w:rPr>
          <w:rFonts w:eastAsia="Calibri"/>
        </w:rPr>
        <w:t xml:space="preserve">There is one area identified as requiring improvement related to documentation of competencies for health care assistants who undertake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high satisfaction with the caring manner and respect that staff show towards each resident.</w:t>
      </w:r>
    </w:p>
    <w:p w:rsidRPr="00A4268A">
      <w:pPr>
        <w:spacing w:before="240" w:line="276" w:lineRule="auto"/>
        <w:rPr>
          <w:rFonts w:eastAsia="Calibri"/>
        </w:rPr>
      </w:pPr>
      <w:r w:rsidRPr="00A4268A">
        <w:rPr>
          <w:rFonts w:eastAsia="Calibri"/>
        </w:rPr>
        <w:t>There are no known barriers to Maori or residents who identify with different cultures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w:t>
      </w:r>
    </w:p>
    <w:p w:rsidRPr="00A4268A">
      <w:pPr>
        <w:spacing w:before="240" w:line="276" w:lineRule="auto"/>
        <w:rPr>
          <w:rFonts w:eastAsia="Calibri"/>
        </w:rPr>
      </w:pPr>
      <w:r w:rsidRPr="00A4268A">
        <w:rPr>
          <w:rFonts w:eastAsia="Calibri"/>
        </w:rPr>
        <w:t>Residents are encouraged and supported to maintain community and family links.</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 register and the information is recorded to meet all the requirements of the standard.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policy. The governance structure is identified in the business plan. The directors ensure service planning covers business strategies for all aspects of service so the services offered meet residents’ needs, legislation and good practice standards. The general manager, oversees all day to day activities at the facility and meets with a director at least once every two weeks. Fortnightly written reports are presented to the directors to show service efficiency against set key performance indicators and quality and risk management processes. Issues of a serious nature are reported to the directors immediately.  </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 an internal audit process, complaints management, incident/accident reporting, annual resident/family/whanau surveys, restraint and infection control data collection. Quality and risk management activities and results are shared among management, staff, residents and families/whānau, as appropriate. Corrective action planning is documented. Incident and accident management occurs to meet policy requirements; this includes reporting of adverse events to appropriate authorities. Forrest Hill Home and Hospital holds Accident Compensation Corporation (ACC) tertiary level status for safe work management practices.</w:t>
      </w:r>
    </w:p>
    <w:p w:rsidRPr="00A4268A">
      <w:pPr>
        <w:spacing w:before="240" w:line="276" w:lineRule="auto"/>
        <w:rPr>
          <w:rFonts w:eastAsia="Calibri"/>
        </w:rPr>
      </w:pPr>
      <w:r w:rsidRPr="00A4268A">
        <w:rPr>
          <w:rFonts w:eastAsia="Calibri"/>
        </w:rPr>
        <w:t>The day to day operation of the facility is undertaken by staff that are appropriately experienced, educated and qualified. Residents and families/whānau confirmed during interview that all their needs and wants are met. The service implements the documented staffing levels and skill mix to ensure contractual requirements are met. Human resources management processes implemented identify good practice and meet legislative requirements.  Consumer information is uniquely identifiable, accurately recorded, current, confidential and accessible when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and family, a care plan specific to the resident.  When there are changes to the resident’s needs a short-term plan is developed and integrated into a long-term plan. The service meets the contractual time frames for short and long term care plans.  Care plans are evaluated at least six monthly.  </w:t>
      </w:r>
    </w:p>
    <w:p w:rsidRPr="00A4268A" w:rsidP="00621629">
      <w:pPr>
        <w:spacing w:before="240" w:line="276" w:lineRule="auto"/>
        <w:rPr>
          <w:rFonts w:eastAsia="Calibri"/>
        </w:rPr>
      </w:pPr>
      <w:r w:rsidRPr="00A4268A">
        <w:rPr>
          <w:rFonts w:eastAsia="Calibri"/>
        </w:rPr>
        <w:t>Residents are reviewed by their general practitioner (GP) following admission, and assessed thereafter either monthly or three monthly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 xml:space="preserve">The Life Style staff (activities) provide planned activities meeting the needs of residents as individuals and in group settings.  Families reported that the activities are appropriate and they are encouraged to participate. </w:t>
      </w:r>
    </w:p>
    <w:p w:rsidRPr="00A4268A" w:rsidP="00621629">
      <w:pPr>
        <w:spacing w:before="240" w:line="276" w:lineRule="auto"/>
        <w:rPr>
          <w:rFonts w:eastAsia="Calibri"/>
        </w:rPr>
      </w:pPr>
      <w:r w:rsidRPr="00A4268A">
        <w:rPr>
          <w:rFonts w:eastAsia="Calibri"/>
        </w:rPr>
        <w:t>Medicine administration system was observed at the time of audit and met safe and good practice standards</w:t>
      </w:r>
    </w:p>
    <w:p w:rsidRPr="00A4268A" w:rsidP="00621629">
      <w:pPr>
        <w:spacing w:before="240" w:line="276" w:lineRule="auto"/>
        <w:rPr>
          <w:rFonts w:eastAsia="Calibri"/>
        </w:rPr>
      </w:pPr>
      <w:r w:rsidRPr="00A4268A">
        <w:rPr>
          <w:rFonts w:eastAsia="Calibri"/>
        </w:rPr>
        <w:t>The onsite kitchen caters for residents with food available 24 hours of the day, with specific dietary, likes and dislikes met. The service has a four-week rotating menu which is approved by a registered dietitian.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substances. </w:t>
      </w:r>
    </w:p>
    <w:p w:rsidRPr="00A4268A">
      <w:pPr>
        <w:spacing w:before="240" w:line="276" w:lineRule="auto"/>
        <w:rPr>
          <w:rFonts w:eastAsia="Calibri"/>
        </w:rPr>
      </w:pPr>
      <w:r w:rsidRPr="00A4268A">
        <w:rPr>
          <w:rFonts w:eastAsia="Calibri"/>
        </w:rPr>
        <w:t xml:space="preserve">There are documented emergency management response processes which are understood and implemented by staff. </w:t>
      </w:r>
    </w:p>
    <w:p w:rsidRPr="00A4268A">
      <w:pPr>
        <w:spacing w:before="240" w:line="276" w:lineRule="auto"/>
        <w:rPr>
          <w:rFonts w:eastAsia="Calibri"/>
        </w:rPr>
      </w:pPr>
      <w:r w:rsidRPr="00A4268A">
        <w:rPr>
          <w:rFonts w:eastAsia="Calibri"/>
        </w:rPr>
        <w:t xml:space="preserve">The building has a current building warrant of fitness and an approved fire evacuation plan. There have been no changes to the facility footprint since the previous audit. </w:t>
      </w:r>
    </w:p>
    <w:p w:rsidRPr="00A4268A">
      <w:pPr>
        <w:spacing w:before="240" w:line="276" w:lineRule="auto"/>
        <w:rPr>
          <w:rFonts w:eastAsia="Calibri"/>
        </w:rPr>
      </w:pPr>
      <w:r w:rsidRPr="00A4268A">
        <w:rPr>
          <w:rFonts w:eastAsia="Calibri"/>
        </w:rPr>
        <w:t xml:space="preserve">The facilities meet residents’ needs and provide furnishings and equipment that is regularly maintained and updated. All but one bedroom is single occupancy. The one double bedroom is only used for couples who choose to share a room. There is adequate toilet, bathing and hand washing facilities. Lounge and dining areas meet residents' relaxation, activity and dining needs. </w:t>
      </w:r>
    </w:p>
    <w:p w:rsidRPr="00A4268A">
      <w:pPr>
        <w:spacing w:before="240" w:line="276" w:lineRule="auto"/>
        <w:rPr>
          <w:rFonts w:eastAsia="Calibri"/>
        </w:rPr>
      </w:pPr>
      <w:r w:rsidRPr="00A4268A">
        <w:rPr>
          <w:rFonts w:eastAsia="Calibri"/>
        </w:rPr>
        <w:t>The facility is adequately heated throughout and there are opening doors and windows in all resident areas to create a good air flow. The outdoor areas provide furnishings and shade for residents’ use. Residents and family/whānau were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Policy states that enablers shall be voluntary and the least restrictive option to meet the needs of the resident to promote independence and safety. At the time of the audit, the service has five enablers and 10 restraints in use which are all bedside rails. This was confirmed in the restraint register sighted.</w:t>
      </w:r>
    </w:p>
    <w:p w:rsidRPr="00A4268A">
      <w:pPr>
        <w:spacing w:before="240" w:line="276" w:lineRule="auto"/>
        <w:rPr>
          <w:rFonts w:eastAsia="Calibri"/>
        </w:rPr>
      </w:pPr>
      <w:r w:rsidRPr="00A4268A">
        <w:rPr>
          <w:rFonts w:eastAsia="Calibri"/>
        </w:rPr>
        <w:t>Policies and procedures are implemented by staff to ensure safe restraint use is maintained. This includes assessment and monitoring processes.</w:t>
      </w:r>
    </w:p>
    <w:p w:rsidRPr="00A4268A">
      <w:pPr>
        <w:spacing w:before="240" w:line="276" w:lineRule="auto"/>
        <w:rPr>
          <w:rFonts w:eastAsia="Calibri"/>
        </w:rPr>
      </w:pPr>
      <w:r w:rsidRPr="00A4268A">
        <w:rPr>
          <w:rFonts w:eastAsia="Calibri"/>
        </w:rPr>
        <w:t xml:space="preserve">All restraint is for safety reasons only. Staff education occurs annually and was last presented in July 2016. Staff verbalised their understanding and knowledge related to safe restraint management. </w:t>
      </w:r>
    </w:p>
    <w:p w:rsidRPr="00A4268A">
      <w:pPr>
        <w:spacing w:before="240" w:line="276" w:lineRule="auto"/>
        <w:rPr>
          <w:rFonts w:eastAsia="Calibri"/>
        </w:rPr>
      </w:pPr>
      <w:r w:rsidRPr="00A4268A">
        <w:rPr>
          <w:rFonts w:eastAsia="Calibri"/>
        </w:rPr>
        <w:t xml:space="preserve">All restraint is evaluated monthly at the registered nurses meeting, three monthly by the restraint coordinator and six monthly with resident and families/whanau.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The infection control programme is implemented and provides a reduced risk of infections to staff, residents and visitors.  Relevant education is provided for staff, and when appropriate, the residents. </w:t>
      </w:r>
    </w:p>
    <w:p w:rsidRPr="00A4268A">
      <w:pPr>
        <w:spacing w:before="240" w:line="276" w:lineRule="auto"/>
        <w:rPr>
          <w:rFonts w:eastAsia="Calibri"/>
        </w:rPr>
      </w:pPr>
      <w:r w:rsidRPr="00A4268A">
        <w:rPr>
          <w:rFonts w:eastAsia="Calibri"/>
        </w:rPr>
        <w:t>There is a monthly surveillance programme, where infections information is collated, analysed and compared with previous data.  Where trends are identified, actions are implemented to reduce infections.  The infection surveillance results are reported and discussed at staff and resident meetings and external benchmarking has recently commenced.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included in the information pack.  Access to information identifying the Code was evident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staff receive induction orientation training regarding residents’ rights and their implementation.  Ongoing education regarding consumer rights is held and this is part of the education calendar.   The clinical staff interviewed demonstrated knowledge on the Code and its implementation in their day to day practice. Staff were observed to be respecting the residents’ rights in a manner that was individual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relating to residents’ rights and the sharing of information.   Advance directives are encouraged and discussed at the time of admission and signed by the resident if competent to do so.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were able to make their own choices and felt supported in their decision making.  Staff interviewed acknowledged the resident’s right to receive, refuse and withdraw consent for care/services. Staff demonstrated good knowledge around challenging behaviours as evidenced in progress notes, care planning and observations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advocates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local shopping centre, community and volunteer groups regularly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Forrest Hill Home and Hospital implements policies and procedures to ensure complaints processes reflect a fair complaints system. During interview residents, families/whānau and staff reported their understanding of the complaints process. Staff confirmed they document all complaints so issues are accurately reflected and followed up by the 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the nature of the complaint, the dates received and the actions taken to address any complaint received. Documented complaints information is used to improve services as appropriate. Complaints information is shared at staff meetings and with the directors. This was confirmed in documents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on display and available to residents and visitors in the main lounge area. The service has a suggestion box which is checked daily and complaints can be placed in this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outstanding complaints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was received by Waitemata District Health Board (WDHB) in July 2015 and was closed in December 2015. Another complaint, which went to the Health and Disability Commissioner in November 2015, was closed in March 2016. Corrective actions requested have been completed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also evidenced in the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that were interviewed reported that the Code was explained to them on admission.  Family/whanau and residents expressed that they were very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also evidenced in the admissions agreement.  The residents’ files reviewed also reflected that residents received services that were specific and individual to their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members interviewed reported that the Code was explained to them on admission.   Their relatives were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expressed no concerns in relation to residents’ abuse or neglect.  The family members reported that staff know their relatives well and are very good at intervening prior to and with any potential challenging behaviours.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registered nurse and health care assistants interviewed reported that there are no barriers to Maori accessing the service.  At the time of the audit there were no Maori residents who affiliated with their culture.   The caregivers interviewed demonstrated good understanding of practices that identified the needs of the Maori resident and importance of whanau and their Maori culture. A Maori health plan was available and evidenced as included in the admission booklet.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At the time of audit there were residents whom affiliated with seven different cultural backgrounds.  The family/whanau interviewed reported that the staff are meeting the needs of their relatives and that their relative was treated in a manner that supported their cultural beliefs and values.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 and this was evidenced at the time of audit in observed interactions between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clinical nurse manager, registered nurses, healthcare assistants and through care planning.  Policies and procedures are linked to evidence-based practice. There are regular visits by residents’ GPs, links with the mental health services, hospice, the geriatrician and different DHB nurse specialists and consultants and allied health staff.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At the time of audit four residents did not speak and/or understand very little English.   Where hospital/consultant appointments were planned, the option of formal interpreters to support the residents and family were encouraged.</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incidence adversely affecting their relative and were happy with the timeframes that this occurred.  Evidence of timely open disclosure was seen in the residents’ progress notes, accident/incident forms and at shift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Forrest Hill Home and Hospital is privately owned. There are three family members who are directors of the company, one of which undertakes fortnightly meetings with the general manager of the facility. Forrest Hill Home and Hospital has a business plan in place which is reviewed annually by the directors with input from the general manager. It is monitored fortnightly by the directors to measure progress towards meeting set goals and key performance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identifies both strategic and workplace goals which show how services are planned, coordinated and delivered to meet residents’ needs. The organisation’s philosophy, mission statement and values are clearly documented and the general manager confirms they underpin all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had 15 rest home and 44 hospital level care residents, which totals 59.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day to day management of the facility is overseen by a general manager who is a registered nurse and has had many years’ experience in aged care management. She has been in her current role for one year. The general manager attends ongoing clinical and management education.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supported by a management team consisting of clinical manager (registered nurse), administration manager, household services manager, accounts manager and the food services manager. All members of the management team attend regular education related to the roles they undertaken.  Accountability and responsibilities for each role was clearly described in the job descriptions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general manager, the clinical manager undertakes the role with assistance from other members of the management team. The clinical manager’s role is shared among the senior nursing staff. During interview, the general manager confirmed there is always a director available by phone should any situations occur or ongoing advice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there is no disruption to services when the managers are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Forrest Hill Home and Hospital has a quality and risk management system which is understood and implemented by service providers. This includes the update of policies and procedures, regular internal audits, incident and accident reporting, health and safety processes, infection control data collection and management, restraint and complaints management. All meetings are recorded using the same template which covers all of the key performance indicators plus equipment and supplies and general business. Information from the resident/family/whanau annual satisfaction survey is also used to improve services. Data collected for the before-mentioned items is collected, reviewed and trended against previously collected data. If an issue or deficit is found a corrective action is put in place to address the situation.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overseen by the quality committee which consists of all members of the management team. These are discussed at management and staff meetings and reviews are documented to show how the actions put in place are evaluated. Staff confirmed they are informed of all required corrective actions by memo or at shift handover.  The folder containing all memos was sighted in the both nursing offices. Examples sighted relate to improvements to be made in documentation management for staff files and ensuring all documentation in residents’ files is correctly signed. Both these areas gained a 100% pass when re-audited following corrective actions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improvements are undertaken to meet the requirements of the standard. However, it was suggested that the service document all quality improvements in more detail.   For example, the changing of the placement of the resident table and chairs in the dining area to improve social interactions is well documented. This was evaluated during discussions with residents and family/whanau who all gave favourable feedback. The actions undertaken to improve staff knowledge related to the management of pressure injuries does not show how the improvements were evaluated. Following discussions with senior management it was agreed that moving forward they will document and evaluate all quality improvements to show more clearly the success (or otherwise) of the actions undertaken. Staff, resident and family/whānau interviews confirmed any concerns they have were addressed by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in place to ensure policies and procedures are reviewed at least two yearly or sooner if required to meet legislative changes. This process is evidence based and overseen by the general manager. All policies sighted are up to date and reflect good practice and meet legislative requirements. This includes showing the updated health and safety requirements and the need to report level three and above pressure injuries via section 31 of the Health and Disability Services (Safety) Act 2001.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using the quality and risk planning processes. Newly found hazards are discussed, monitored and managed via the quality committee with health and safety representative input. Each area (eg, kitchen, laundry, office, clinical) have an up to date hazard register. The service is pro-active in the identification of areas of risk and this is supported by them obtaining a tertiary level rating for the Work Safety Management Practices Programme from the Accident Compensation Corporation (ACC) in September 2016. Staff confirmed that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as identified in policy, is implemented by the service.  The general manager confirmed their awareness of the organisation’s requirement related to statutory and or/regulatory reporting obligations including the need to report pressure injuries under section 31 of the Health and Disability Services (Safety) Act 2001. (Notifications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shared at staff meetings, as confirmed in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residents’ files and the 2016 incident and accident forms reviewed identified that all issues reported had corrective actions put in place when required. The incident and accident forms are viewed and signed off by the clinical manager. If it is a serious harm incident, then the general manager undertakes the notification process required and the directors are notified immediately. It was noted that incident and accident forms are kept in a separate file. Following discussion with senior management it was agreed that they be filed in the resident’s file once follow up is 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notification is clearly shown in documentation and confirmed during families/whānau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reported during interview that information gathered from incident and accidents is used as an opportunity to improve services where indicated. One example relates to the introduction of a staff member in the main lounge areas at all times to help prevent falls, as this was identified as an area where falls were occurring. Fall numbers sighted have decreased slightly and there have been no recorded falls in the lounge areas since the new system was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incidents are discussed at RN meetings and staff meetings as required. Incident and accident types and numbers are included in the monthly directors’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This was confirmed in the staff files reviewed. All roles have job descriptions that describe staff responsibilities and accountabilities. Staff complete an orientation programme with specific competencies for their roles. (Refer comment in criterion 1.3.12.3 regarding healthcare assistants (HCAs) medication competencies). Staff confirmed during interview that the orientation/induction process is overseen by a senior member of staff and that they felt confident to undertake their roles upon completion of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the staff files reviewed confirmed all RNs have completed annual medication competencies, and that staff attend both onsite and off-site education related to the roles they perform.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on an ongoing annual basis. Employment processes included reference checking and annual staff appraisals. All appraisals were up to date for the seven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for 2016 and 2017 identifies that staff are offered and undertake training and educational topics relate to aged care and health care services. Guest speakers include the Waitemata DHB gerontology nurse specialist, chemical provider educator and the pharmacist. Off-site education includes hospice education and HCA aged care educational days. Members of the management team also attend workshops and seminars specific to management related topics.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families/whānau members interviewed, identified that residents’ needs are met by the service. This is also supported in the resident satisfaction survey results sighted for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to meet residents’ needs and to comply with contractual requirements. Documentation identifies that at all times adequate numbers of suitably qualified and experienced staff are on duty to provide safe and quality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showed that staff were replaced for sickness and annual leave. This was confirmed during interview with staff and management. Staff reported they had adequate time to complete all required tasks to meet residents’ needs. There are at least two registered nurses on morning and afternoon shift and one registered nurse on night duty. All RNs hold current first aid certificates. Additional staff are rostered if the workload is very demanding. An example of this was sighted on the days of audit where a palliative care resident was being ‘specialed’ one on one by an extra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kitchen, cleaning and laundry staff seven days a week. The activities coordinators cover seven days a week. (This occurred as a result of a suggestion made in the 2016 resident/family/whanau satisfaction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personal or private resident information was observed to be on public display during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remain traceable and held within the required time frames which also encompasses the (Retention of Health information) Regulations 1996 Act. A discussion at the time of the audit was had with the clinical services manager and general manager around staff documenting in residents’ progress notes the specific time of entry, as currently staff are writing ‘am, pm or nocte’.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resident/family or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and the facility has their own dedicated website.   When enquiries are made by prospective residents and/or their family members in or outside of normal working hours, an enquiry form is completed and the facility will also follow-up with a phone call.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and a summary of medical notes is included. A copy of any advance directives are also included.   Transfer of a resident to another facility includes notification to appropriate and required external services.   Communication between the two services and with the family occurs prior to transfer and any concerns are documented.  Documentation of a resident’s hospital transfer was sighted during the audit and was well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a process when an error occurs, as well as definitions for ‘over the counter’ medications that may be required by residents.   At the time of audit, no residents were self-administering medicines.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 one of treatment rooms which are locked when not occupied.  A locked safe is used for controlled medications and the medicine register was sighted and meets requirements.  Facility and pharmacy controlled drug audits have been completed within the last six months.   Medications that requires refrigeration are stored in a separate fridge.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16 medicine charts reviewed have been reviewed by the GP every three months and this is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There is a specimen signature register maintained for all staff who administers medicines.  The medicine files reviewed have a photo of the resident to assist with the identification of the resident and a pharmacy medication/tablet identifying sheet.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registered staff responsible for medicine management.  The registered nurses administering medicines at the time of audit demonstrated competency related to medicine management; however health care assistants checking medication at night have not completed medication competency to support registered staff in checking of controlled medications.  Annual training for registered staff is provided by the pharmacist.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have a very good understanding of food safety management and have completed regular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 rotating menu.  The menu has been reviewed by a dietitian.  Where unintentional weight loss is recorded, the resident is discussed with the GP and referred for a dietitian and/or speech language specialist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at the time of admission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kitchenette situated in the facility where residents/family can make their own hot and cold beverages and families can prepare and provided food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All meals are cooked and served directly from the kitchen at the time of the meal and delivered to one of two dining rooms with residents having the option of trays in their rooms.   Residents and families interviewed stated that there were no concerns and were appreciative of the kitchen staff whom were also able to cook and provide food that was individual to their likes and needs and/or also met their cultural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interviewed reported that the service does not refuse a resident if they have a suitable Needs Assessment and Service Coordination (DSL) assessment for the level of care and there is a bed available.  In the event that the service cannot meet the needs of the resident, the resident, family and DSL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and tools for all residents, however not all interRAI assessments are marked as complete.  Five assessments remain in draft due to a registered nurse currently in training requiring sign of by the interRAI assessor before the assessments can be marked as complete.  Two interRAI assessments that were completed by a registered nurse has since been discontinued by interRAI due to the registered nurse not meeting competencies, currently the clinical nurse manager is resubmitting these assessments.   Assessments are carried out by a registered nurse appropriate to the level of care of the resident and include falls, skin integrity, and challenging behaviour, nutritional needs, continence, and communication, end of life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injury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residents’ files reviewed have electronic care plans, with one of the eight resident’s electronic files reviewed in a draft copy.  One of the eight files does not evidence an initial long term care plan, however the clinical nurse manager and registered nurse confirmed the care plan was completed, as changes were required to reflect the resident’s change in level of care. All other short and long term care plans were evidenced for this resident.  The eight files reviewed have documented short and long term care plans that address the resident’s current abilities, concerns, routines, habits and level of independence and any changes implemented.  Strategies for reducing and minimising risk while promoting quality of life and independence were sighted in the files.  Also evidenced was the assessment of techniques used that is individual and specific to the resident with interventions and evaluations sighted.  The health care assistants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included Lifestyle (activity) therapy care plans identifying the resident’s individual diversional, motivational and recreational requirements showing documented evidence of how these are managed.  The files reviewed showed input from registered nurse, health care assistants, lifestyle staff, medical and allied health services.  The registered nurse and health care assistants interviewed reported they receive adequate information to assist with the resident’s continuity of care.  This was also evidenced in the shift handover (verbal and paper) and staff communication/diary book and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they were very happy with the quality of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the audit, the registered nurses and health care assistants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nurses and health care assistants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lifestyle (activities) staff adapts activities to meet the needs and choices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lifestyle staff, one of whom is training to be a diversional therapist.  Combined, the lifestyle staff cover seven days a week from 0830 – 1630 (Monday to Saturday) and till 1430 (Sunday).   The weekly activities plan/calendar sighted was developed based on the residents’ needs and interests and can be easily adapted and changed depending on the residents’ interest and reaction at the time. The lifestyle staff advertise the upcoming activities on the notice boards daily through the facility and a monthly calendar of upcoming events is available and provided to each resident.   Health care assistants while supporting residents with personal cares remind and encourage residents to attend the activities.   Regular activities include church services (group and individual visits) and included activities specific to men and women, regular visiting entertainment and volunteer/community groups and trips to other events occurring in the community, paper reading and games.   For residents that wish to remain in their rooms, activities and one to one interaction is offered and supported by staff.   The lifestyle co-ordinator whom is also registered as a physiotherapist has developed a ‘Fit in Body and Mind’ fitness programme which includes daily aerobic/band or weight exercise for the residents.   The facility is also supported by a local gym instructor who visits and supports with exercise and a walking group.   The registered nurses and healthcare staff interviewed state that they have access to activities to support residents after hours and on the weekends.  Skype has been set up for residents of families whom live out of area and/or overseas of which two residents with support from staff utilise frequently.  A monthly newsletter is also provided and includes past and upcoming event information and is resident focused. </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activities and social assessments that identify the resident’s individual diversional, motivational and recreational requirements over a 24-hour period.  Daily activities attendance sheet records are maintained for each resident and is assessed and reviewed based on the enjoyment and interest of the resident.  The goals are updated and evaluated in each resident’s file three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four times annually and the activities programme is discussed. Residents and staff interviewed stated that they are very happy with the activities provided and this was also evidenced in observation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 and this was also evidenced in progress notes.</w:t>
            </w:r>
          </w:p>
          <w:p w:rsidR="00EB7645" w:rsidRPr="00BE00C7" w:rsidP="00BE00C7">
            <w:pPr>
              <w:pStyle w:val="OutcomeDescription"/>
              <w:spacing w:before="120" w:after="120"/>
              <w:rPr>
                <w:rFonts w:cs="Arial"/>
                <w:b w:val="0"/>
                <w:lang w:eastAsia="en-NZ"/>
              </w:rPr>
            </w:pPr>
            <w:r w:rsidRPr="00BE00C7">
              <w:rPr>
                <w:rFonts w:cs="Arial"/>
                <w:b w:val="0"/>
                <w:lang w:eastAsia="en-NZ"/>
              </w:rPr>
              <w:t>Residents’ changing needs are clearly documented in the care plans reviewed.  Residents whose health status changes, and/or is not responding to the services/interventions being delivered, are discussed with their GP and family/whanau.  Short term care plans are sighted for wound care, infections, and changes in mobility, changes in food and fluid intake and skin care.  The medical and nursing assessments of these short-term care plans are documented in the residents’ progress notes.  The health care assistants interviewed demonstrated good knowledge of short term care plans and reported that they are discussed at handover; this was also evidenced at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GP who visits the residents at the facility twice weekly.   The GP also provides a 24 hour on call after hours’ service and is also supported by a locum as required.   The RN or the GP arrange for any referrals required to specialist medical services when necessary.  Records of progress are recorded in the resident’s file and were observed.  These referrals and consultations included mental health services, general medicine services, and referrals to a psychiatrist, radiology, geriatrician, podiatry, dietitian, and speech language therapist.  The GP and an allied health specialist interviewed reported that referrals to requested services are well managed from the facility and no concerns were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safe and appropriate storage and disposal of waste substances which are implemented by Forrest Hill Home and Hospital. Yellow sharps bins are used for the safe disposal of medical waste, such as needles. Staff report their understanding of safe disposal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Chemicals are labelled in bottles provided by the contracted company who supplies them or are kept in their original purchase bottle. Safety data sheets were sighted for the chemicals in use. There is a chemical products reference chart on the wall in the laundry area where bulk chemicals are stored. A chemical hazard register is kept in all area where chemicals are located.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equipment/clothing (PPE) sighted included disposable gloves, aprons and goggles. Staff interviewed confirmed they can access PPE at any time and were observed wearing disposal gloves and aprons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16 June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This includes planned annual maintenance and day to day reactive and planned items. Minor repairs are undertaken by the maintenance person employed and signed off when completed. Specialised areas, such as plumbing and electrical work, is undertaken by external contractors.  It was noted during the audit that the bathroom door frame in a shared bathroom and one empty bedroom required some areas to be painted. The general manager stated these items are in the maintenance request book and that the painter is booked upon their return from leave and the maintenance man did not return from leave until the second day of audit. One wall heating was rusting. The maintenance request books sighted showed that these areas were logged.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occurs annually by a registered electrician. Clinical equipment is tested and calibrated by an approved provider at least annually and was last undertaken in January 2016.  (The general manager has the 2017 update scheduled to occur later in January).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bathroom floors are non-slip and walking areas are kept clear of obstructions. Regular environmental audits are undertaken and corrective actions are put in place when required. Staff education includes awareness of all aspects of health and safety in the workplace.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are easily accessed by all residents and there is appropriate seating and shaded areas. Resident and family/whanau use of the outdoor areas were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 and shower facilities. Twenty-nine bedrooms have full ensuites, two bedrooms have a share toilet ensuite, and six single bedrooms have toilet ensuites. There is only one bedroom that does not have a hand basin and the room backs onto a common bathroom area with easy access to handwashing facilities. There are centrally located toilet and shower areas in each wing. Separate staff and visitor toilet facilities are available. Hot water temperatures are monitored to ensure they remain within safe limits for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one bedroom which is a double room, the remaining bedrooms are single occupancy. The general manager confirmed the double bedroom is only used for couples who wish to share a room. At the time of audit, the room is single occupancy. All bedrooms are of a size which allows enough space for residents to mobilise safely with or without assistance. They are personalised to meet resident’s wants and needs and have appropriate areas for residents to place personal belongings.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families/whānau members interviewed confirmed they are happy with their personal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areas to meet their relaxation, activity and dining needs. There are three lounge areas, two are downstairs and one upstairs. Dining areas are separate. The service has a furniture replacement programme to ensure common areas and furnishings are kept in a good state of repair. Easy chairs in the lounge areas have been replaced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undertaken in the lounge and in the dining areas. This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voiced their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procedures in place for cleaning and laundry tasks. The laundry is very well set out and has a clean and dirty entrance. The only laundry done on site is residents’ personal clothing. All other laundry goes off site to a commercial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correct use of chemicals for cleaning is maintained and pre-mixed chemicals are supplied by an offsite company. The cleaners have specific trollies to carry all cleaning items and they are stored in secure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and families/whānau confirmed they are very happy with the cleaning and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 is reviewed annually as part of the quality process. Emergency fire equipment is checked annually by an approved provider (September 2016) and there is an evacuation plan which was approved by the fire service in September 2014. There have been no changes to the facility footprint since this time. It was noted that five firefighting appliances (three extinguisher and two hose reels) did not show a current test and tag. The contracted company was contacted during the audit and this has been rectified.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fire evacuations are undertaken with the last one occurring in November 2016. No follow up actions were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first aid kits, outbreak and civil defence supplies. The contents are rotated regularly so that they do not expire. Six monthly checks were sighted.  Alternative energy and utility sources are available in the event of the main supplies failing and include emergency lighting and a gas BBQ and cooking. There is a 3000 litre water tank from which water is pumped via a generator should the main supply shut down for any reason. </w:t>
            </w:r>
          </w:p>
          <w:p w:rsidR="00EB7645" w:rsidRPr="00BE00C7" w:rsidP="00BE00C7">
            <w:pPr>
              <w:pStyle w:val="OutcomeDescription"/>
              <w:spacing w:before="120" w:after="120"/>
              <w:rPr>
                <w:rFonts w:cs="Arial"/>
                <w:b w:val="0"/>
                <w:lang w:eastAsia="en-NZ"/>
              </w:rPr>
            </w:pPr>
            <w:r w:rsidRPr="00BE00C7">
              <w:rPr>
                <w:rFonts w:cs="Arial"/>
                <w:b w:val="0"/>
                <w:lang w:eastAsia="en-NZ"/>
              </w:rPr>
              <w:t>The security arrangements involve staff ensuring the doors and windows are locked upon dusk.  Staff carry pager phones on all shifts to ensure they can contact emergency services should they be required.   Staff and residents stated they feel safe at all times. There is lock on the door between the reception area and the clinical area. This is opened by the push of button from the outside and a key code which is displayed on the wall in very large print on the inside. It releases in case of an emergency. Visitors and residents were seen using the door unassisted on both days of the audit. It is for safety reasons only. (Refer comments in criterion 2.1.1.4).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Residents and families/whānau interviewed confirmed call bells were answered in an acceptable timeframe. The clinical manager monitors response times monthly as part of the quality processes. This is a recently commenced quality improvement following an issue identified by the complaints process. No negative comments were made by residents or family/whanau related to the call bell response time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opening window which provides natural light and ventilation. The facility has electric heating throughout the facility, including in resident bedrooms. There are heat pumps in resident lounge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the facility is maintained at a comfortable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registered nurse. This person was not available for interview at the time of audit.  The infection control coordinator holds accountability and responsibility for following the programme in the infection control manual.  The infection control coordinator monitors for infections, by using standardised definitions to identify infections, surveillance activity, noting changes in behaviours, monitoring of organisms related to antibiotic use and the monthly surveillance record.  Infection control is discussed at staff meetings.  If there is an infectious outbreak this is reported immediately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the staff communication book, one to one, at shift handover, in short term care plans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the role of infection prevention and control coordinator.  Infection control issues are discussed at staff meetings. The facility has the support of a clinical specialist nurse who is available for advice on infection prevention. Advice can also be sought from different external sources including the laboratory diagnostic services and GP.  The infection control coordinator/registered nurse is newly appointed to the role of infection control and is supported by the clinical nurse manager.  The registered nurses and health care assistants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facilities uses to minimise infections.  This is supported by an infection control manual and policies and procedures that support specific areas, including antibiotic use, MRSA screening, wound management, blood and body spills, cleaning, disinfection and sterilisation, laundry and standard precautions.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health care assistants interviewed demonstrated good infection prevention and control techniques and awareness of standard precautions, such as hand washing.  Hand washing of staff is reviewed regularly by the nurse manager.  Infection control in-service education/tool box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meetings to reduce and minimise risk and ensure residents’ safety.  The infection control nurse completes a monthly surveillance report. The service monitors respiratory tract infections, wounds, skin, ear nose and throat, urinary tract infections and gastroenteritis.   The monthly analysis of the infections includes comparison with the previous month, reason for increase or decrease, trends and actions taken to reduce infections.  This information is fed back and discussed in staff meetings, and where appropriate, family meetings.  An external contractor has recently being implemented and will be benchmarking surveillance data quarterly with other facilities.  Overall monthly statistics remain low for the facility.  At the time of audit no residents were identified as requiring antibiotics due to frequent infections.  Short and long term care plans were evidenced to document interventions to reduce and minimise the risk of infections and regular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restraint is only applied to enhance or maintain the safety of the resident. The use of enablers is voluntary and the least restrictive option to meet the needs of residents. Policy also covers the environmental restraint related to the door between the reception area and the clinical area. Management of this process includes ensuring that all residents and family/whanau are made aware of this prior to entry and that they fully understand how to enter and exit the facility. Residents and visitors were seen coming and going freely throughout the audit. It was confirmed during interviews that they are made aware of this process prior to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are five enablers and ten restraints in use. They are all bedside rails for either safety and/or to assist residents to remain as independent as possible when in 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approval occurs as part of the RN meetings as identified in meeting minutes sighted. This process is led by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discussed and approval is signed either by the resident and/or the family/whanau prior to use. This was confirmed in the review of three residents’ files reviewed specifically for restraint and enabler use. Policy described a restraint committee and the services uses the RN group as the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interviewed voiced a clear understanding of restraint processes from gaining consent to ensuring regular monitoring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used prior to restraint being put into place meets all aspects of this standard. The assessment is paper based and determines if restraint is required. If restraint is approved, it is then documented on the resident’s care plan as confirmed in documentation sighted.  Alternative interventions are used where possible, such as using a low-low bed instead of a bedside rail. (Currently restraint is not included in the interRAI process. A discussion was held related to using the notes section to show that restraint is in use and what interventions and the frequency of monitoring required. The clinical manager confirmed they would do this going forward).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for safety reasons only. The only approved restraint at the time of audit is bedside rails. Alternative interventions are trialled where applicable. There have been no incidents recorded related to the use of restraint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least two hourly according to the level of risk identified. The restraint register sighted showed when restraint was first approved, the type of restraint, when it was last reviewed and the next due review date. It showed that restraint use is reviewed three monthly by the restraint coordinator as well as at the six monthly multidisciplinary review meetings which family/whanau are invited to attend. All restraint use is discussed at the monthly RN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evaluated by ensuring staff maintain regular monitoring. This is confirmed on the monitoring forms sighted. Staff ensure the timeframe for monitoring is adhered to and the restraint coordinator undertakes audits to check all required process have been followed. No incidents or accidents have been recorded related to restraint management. Annual staff education occurs to ensure staff remain aware of how to safely manage a resident with restraint. Education is also included in the orientation package completed by newly employed clinical staff. Education includes alternatives to restraint and how to manage behavioural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trends and use of restraint is monitored monthly by the RNs to cover all required aspects of this standard. The clinical manager stated that numbers remain fairly static as many of the bedside rails in use have been requested by either the resident or the family/whanau. A discussion was held about how to better educate family/whanau about safe management of the resident without the use of restraint to try to reduce numbers. The restraint register identifies that restraint is ceased when no longer required by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quality data collected is presented at management and staff meetings and shared with the directors each month.</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1"/>
        <w:gridCol w:w="1280"/>
        <w:gridCol w:w="7713"/>
        <w:gridCol w:w="1626"/>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Senior experienced healthcare assistants who work night shifts and support the registered staff by checking controlled and other medication, have not completed medication competencies.   The plan for the service is to ensure health care assistants who check medications will maintain an annual competency.   At the time of audit assurance was provided by the general manager that staff who checked medication would no longer do so unless they had completed a competency.  The three health care assistants who work the night shift had completed medication competency the day following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Healthcare assistants do not hold competencies to support the checking of controlled and other medications on a night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who hold medication responsibilities are competent to perform the function they are assigned.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Forrest Hill Continuing Care Limited - Forrest Hill Home and Hospital</w:t>
    </w:r>
    <w:bookmarkEnd w:id="58"/>
    <w:r>
      <w:rPr>
        <w:rFonts w:cs="Arial"/>
        <w:sz w:val="16"/>
        <w:szCs w:val="20"/>
      </w:rPr>
      <w:tab/>
      <w:t xml:space="preserve">Date of Audit: </w:t>
    </w:r>
    <w:bookmarkStart w:id="59" w:name="AuditStartDate1"/>
    <w:r>
      <w:rPr>
        <w:rFonts w:cs="Arial"/>
        <w:sz w:val="16"/>
        <w:szCs w:val="20"/>
      </w:rPr>
      <w:t>10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