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Melrose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Melrose Rest Home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December 2016</w:t>
      </w:r>
      <w:bookmarkEnd w:id="7"/>
      <w:r w:rsidRPr="009418D4">
        <w:rPr>
          <w:rFonts w:cs="Arial"/>
        </w:rPr>
        <w:tab/>
        <w:t xml:space="preserve">End date: </w:t>
      </w:r>
      <w:bookmarkStart w:id="8" w:name="AuditEndDate"/>
      <w:r w:rsidR="00A4268A">
        <w:rPr>
          <w:rFonts w:cs="Arial"/>
        </w:rPr>
        <w:t>7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Melrose Rest Home and Retirement Village provides rest home and hospital level care for up to 88 residents. There were 74 residents at the facility on the days of audit. </w:t>
      </w:r>
    </w:p>
    <w:p w:rsidRPr="00A4268A">
      <w:pPr>
        <w:spacing w:before="240" w:line="276" w:lineRule="auto"/>
        <w:rPr>
          <w:rFonts w:eastAsia="Calibri"/>
        </w:rPr>
      </w:pPr>
      <w:r w:rsidRPr="00A4268A">
        <w:rPr>
          <w:rFonts w:eastAsia="Calibri"/>
        </w:rPr>
        <w:t xml:space="preserve">This surveillance audit was conducted against the relevant aspects of the Health and Disability Service Standards and the service’s contract with the district health board. The audit process included the review of policies and procedures, review of resident and staff files, observations and interviews with residents, management, staff and a general practitioner. </w:t>
      </w:r>
    </w:p>
    <w:p w:rsidRPr="00A4268A">
      <w:pPr>
        <w:spacing w:before="240" w:line="276" w:lineRule="auto"/>
        <w:rPr>
          <w:rFonts w:eastAsia="Calibri"/>
        </w:rPr>
      </w:pPr>
      <w:r w:rsidRPr="00A4268A">
        <w:rPr>
          <w:rFonts w:eastAsia="Calibri"/>
        </w:rPr>
        <w:t>The two areas identified as requiring improvement at the last certification audit, relating to residents’ privacy and initial medical assessments, have been met.</w:t>
      </w:r>
    </w:p>
    <w:p w:rsidRPr="00A4268A">
      <w:pPr>
        <w:spacing w:before="240" w:line="276" w:lineRule="auto"/>
        <w:rPr>
          <w:rFonts w:eastAsia="Calibri"/>
        </w:rPr>
      </w:pPr>
      <w:r w:rsidRPr="00A4268A">
        <w:rPr>
          <w:rFonts w:eastAsia="Calibri"/>
        </w:rPr>
        <w:t>There are six areas identified as requiring improvement relating to: corrective actions; medication management; residents’ recordings; wound management and residents’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admission to the facility. Residents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business and care manager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Care Company Limited is the governing body and is responsible for the services provided at this facility. A business plan and quality and risk management systems document the scope, direction, goals, values and mission statement. The quality and risk management system supports the provision of clinical care at the service. Systems are in place for monitoring the services provided. The quality and risk performance is reported through meetings at the facility and monitored by the organisation's management team through the business status and clinical indicator reports.</w:t>
      </w:r>
    </w:p>
    <w:p w:rsidRPr="00A4268A">
      <w:pPr>
        <w:spacing w:before="240" w:line="276" w:lineRule="auto"/>
        <w:rPr>
          <w:rFonts w:eastAsia="Calibri"/>
        </w:rPr>
      </w:pPr>
      <w:r w:rsidRPr="00A4268A">
        <w:rPr>
          <w:rFonts w:eastAsia="Calibri"/>
        </w:rPr>
        <w:t xml:space="preserve">The service is managed by a business and care manager who is supported in their role by a clinical manager. The clinical manager is responsible for the oversight of the clinical services in the facility. </w:t>
      </w:r>
    </w:p>
    <w:p w:rsidRPr="00A4268A">
      <w:pPr>
        <w:spacing w:before="240" w:line="276" w:lineRule="auto"/>
        <w:rPr>
          <w:rFonts w:eastAsia="Calibri"/>
        </w:rPr>
      </w:pPr>
      <w:r w:rsidRPr="00A4268A">
        <w:rPr>
          <w:rFonts w:eastAsia="Calibri"/>
        </w:rPr>
        <w:t>There are human resource policies implemented around recruitment, selection, orientation, staff training and development. An in-service education programme is provided for staff on a regular basis and a staff training register is maintained. New staff are required to complete an orientation programme.</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by a registered nurse. Residents’ needs, goals and outcomes are recorded in residents’ care plans. The care plan evaluations are conducted on a regular basis or when a resident’s condition changes. Residents interviewed report being informed, involved and satisfied with services provided.</w:t>
      </w:r>
    </w:p>
    <w:p w:rsidRPr="00A4268A" w:rsidP="00621629">
      <w:pPr>
        <w:spacing w:before="240" w:line="276" w:lineRule="auto"/>
        <w:rPr>
          <w:rFonts w:eastAsia="Calibri"/>
        </w:rPr>
      </w:pPr>
      <w:r w:rsidRPr="00A4268A">
        <w:rPr>
          <w:rFonts w:eastAsia="Calibri"/>
        </w:rPr>
        <w:t xml:space="preserve">The activities programmes provide a wide range of activities and involvement with the wider community. </w:t>
      </w:r>
    </w:p>
    <w:p w:rsidRPr="00A4268A" w:rsidP="00621629">
      <w:pPr>
        <w:spacing w:before="240" w:line="276" w:lineRule="auto"/>
        <w:rPr>
          <w:rFonts w:eastAsia="Calibri"/>
        </w:rPr>
      </w:pPr>
      <w:r w:rsidRPr="00A4268A">
        <w:rPr>
          <w:rFonts w:eastAsia="Calibri"/>
        </w:rPr>
        <w:t xml:space="preserve">Medicine management policies and procedures are in place to guide practice. </w:t>
      </w:r>
    </w:p>
    <w:p w:rsidRPr="00A4268A" w:rsidP="00621629">
      <w:pPr>
        <w:spacing w:before="240" w:line="276" w:lineRule="auto"/>
        <w:rPr>
          <w:rFonts w:eastAsia="Calibri"/>
        </w:rPr>
      </w:pPr>
      <w:r w:rsidRPr="00A4268A">
        <w:rPr>
          <w:rFonts w:eastAsia="Calibri"/>
        </w:rPr>
        <w:t>The menu has been reviewed by a registered dietitian and meets nutritional requirements and guidelines. Residents’ special dietary requirements, need for assistance with meals or need for modified equipment are met. Residents interviewed confirmed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 approval process for enabler use is activated when a resident requests an enabler to assist them to maintain independence and/or safety. Enabler requests and use are voluntary. Staff education in restraint, de-escalation and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descriptions of the process in the programme. Data on the nature and frequency of identified infections is collated, analysed and entered in the clinical indicators on the Oceania intranet. The results of surveillance are reported through all levels of the organisation, including governance.</w:t>
      </w:r>
    </w:p>
    <w:p w:rsidRPr="00A4268A">
      <w:pPr>
        <w:spacing w:before="240" w:line="276" w:lineRule="auto"/>
        <w:rPr>
          <w:rFonts w:eastAsia="Calibri"/>
        </w:rPr>
      </w:pPr>
      <w:r w:rsidRPr="00A4268A">
        <w:rPr>
          <w:rFonts w:eastAsia="Calibri"/>
        </w:rPr>
        <w:t>This information is reviewed by the Oceania clinical quality team and reported to the Oceania board on a monthly basis.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0"/>
        <w:gridCol w:w="1280"/>
        <w:gridCol w:w="97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policies and procedures are compliant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advised of the complaints process on admission. There are appropriate systems in place to manage the complaints process and the complaints forms are accessible at the facility. Residents demonstrated an understanding and awareness of how to make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the management of complaints. A complaints register is maintained and a sample of complaints for 2016 were reviewed and evidenced the complaints process is followed and complaints are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stated there had been one complaint to the Ministry of Health and one to the Health and Disability Commissioner (HDC) since the last certification audit. The Ministry of Health complaint was referred to the DHB and was investigated by DHB staff. Interview with the DHB staff member confirmed corrective action plans have been developed and are in process of implementation. The HDC complaint has been investigated and is now closed. No other external agencies have had complaints submitted, as stated by the business and care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single, two bedded and four bedded rooms at the facility. The shared rooms have curtains provided for residents’ privacy. The criterion 1.1.3.1 was identified as requiring improvement at the last certification audit relating to curtains in two residents’ bedrooms not maintaining residents’ privacy. This has been addressed by the organisation and the criterion is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knocking on closed doors before entering residents’ rooms and maintaining the privacy and dignity of residents during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are treated respectfully and that their individual needs and preferences are acknowledged and accommodated. The resident and family satisfaction surveys for 2016 indicated high resident satisfaction concerning their rights being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clinical files evidenced timely and open communication with residents and family members. Communication with family members is recorded in the progress notes and on the family communication sheets.</w:t>
            </w:r>
          </w:p>
          <w:p w:rsidR="00EB7645" w:rsidRPr="00BE00C7" w:rsidP="00BE00C7">
            <w:pPr>
              <w:pStyle w:val="OutcomeDescription"/>
              <w:spacing w:before="120" w:after="120"/>
              <w:rPr>
                <w:rFonts w:cs="Arial"/>
                <w:b w:val="0"/>
                <w:lang w:eastAsia="en-NZ"/>
              </w:rPr>
            </w:pPr>
            <w:r w:rsidRPr="00BE00C7">
              <w:rPr>
                <w:rFonts w:cs="Arial"/>
                <w:b w:val="0"/>
                <w:lang w:eastAsia="en-NZ"/>
              </w:rPr>
              <w:t>Staff and management interviewed confirmed family members are kept informed about any change in a resident’s condition and if any adverse event occurs and this was evidenced in clinical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that interpreter services are able to be accessed from the district health board (DHB), if required. There were no residents at the facility requiring interpreter services on audit days.</w:t>
            </w:r>
          </w:p>
          <w:p w:rsidR="00EB7645" w:rsidRPr="00BE00C7" w:rsidP="00BE00C7">
            <w:pPr>
              <w:pStyle w:val="OutcomeDescription"/>
              <w:spacing w:before="120" w:after="120"/>
              <w:rPr>
                <w:rFonts w:cs="Arial"/>
                <w:b w:val="0"/>
                <w:lang w:eastAsia="en-NZ"/>
              </w:rPr>
            </w:pPr>
            <w:r w:rsidRPr="00BE00C7">
              <w:rPr>
                <w:rFonts w:cs="Arial"/>
                <w:b w:val="0"/>
                <w:lang w:eastAsia="en-NZ"/>
              </w:rPr>
              <w:t>Relevant information is provided to residents and their families as part of the information admission pack. Family meetings inform family members of facility activities and provide opportunity for family members to discuss issues/concerns with management. Minutes of family meetings were sighted. The last family meeting was held in October 2016 and discussion relating to the satisfaction survey results was included. Family members were not able to be interviewed on audit days due to their time constraints or their unavailability.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Melrose Rest Home and Retirement Village is part of the Oceania Care Company Limited with the executive management team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between the service and the managers takes place on at least a monthly basis. The clinical and quality manager and the operations manager provided support during the audit. The monthly business status report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mission statement, values and goals. These are communicated to residents, staff and family through posters on the wall, information in booklets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88 residents with 74 beds occupied at the audit. This included 35 residents requiring rest home level care and 39 residents requiring hospital level care. Three residents were identified as being under the young people with disability contract, one at rest home level and two at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the overall management of the service and has been in their role for three years. The BCM has previous management experience in residential care and has completed health care management education. The BCM attends core study days and additional training and education specific to management exceeding eight hours annually.</w:t>
            </w:r>
          </w:p>
          <w:p w:rsidR="00EB7645" w:rsidRPr="00BE00C7" w:rsidP="00BE00C7">
            <w:pPr>
              <w:pStyle w:val="OutcomeDescription"/>
              <w:spacing w:before="120" w:after="120"/>
              <w:rPr>
                <w:rFonts w:cs="Arial"/>
                <w:b w:val="0"/>
                <w:lang w:eastAsia="en-NZ"/>
              </w:rPr>
            </w:pPr>
            <w:r w:rsidRPr="00BE00C7">
              <w:rPr>
                <w:rFonts w:cs="Arial"/>
                <w:b w:val="0"/>
                <w:lang w:eastAsia="en-NZ"/>
              </w:rPr>
              <w:t>The clinical care service is overseen by the clinical manager (CM) who is a registered nurse (RN) and has been in this position for approximately a year. The CM has past experience in clinical management at another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Oceania Care Company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Policies are linked to the Health and Disability Sector Standards, current and applicable legislation, and evidenced-based best practice guidelines. Policies are available to staff and staff are informed of new and 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 has processes in place for facilities to maintain the quality and risk management system and monitor the key components of service delivery. There is documentation that includes collection, collation, and identification of trends and analysis of data. Internal audit schedule is implemented and results are communicated to staff. The 2016 family and resident satisfaction survey shows satisfaction with services provided and this was confirmed by residents interviewed. The satisfaction survey results record previous survey results and comparisons of data. There was evidence of improvements in results of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provide a forum of communication with all staff, residents and families. Staff report that they are kept informed of quality improvements. Residents confirmed residents’ meetings provide an opportunity for discussions with staff and management. The meeting minutes evidenced when areas requiring improvement have been identified these are not consistently allocated to a person responsible for the corrective actions to be implemented, timeframes are not always recorded and the corrective action sign off is inconsistently recorded.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was evidence of hazard identification forms completed when a hazard is identified. Hazards are addressed and risks minimised or isolated. Health and safety is audited monthly with a facility health check completed by the clinical and quality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 and incident forms are reviewed by the clinical manager and signed off by the business and care manager when completed. Corrective action plans to address areas requiring improvement are documented in accident/incident forms. The registered nurses undertake assessments of residents following an accident and this is recorded on the accident/incident form and in the resident’s clinical file (refer to 1.3.3.3).</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policies and procedures, and staff training.</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aware of the requirements of essential notifications to relevant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documented and implemented. The skills and knowledge required for each position is documented in job descriptions which outline accountability, responsibilities and authority. These were reviewed on staff files along with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and the core study days were reviewed and evidence staff education is provided to all staff. The core study days are provided for RNs, health care assistants and non-clinical staff. The core study days provide mandatory education and training in the required areas relevant to the levels of staff responsibilities and authority. Individual staff attendance records and attendance records for each education session were reviewed and evidenced ongoing education is provided. Competency assessment questionnaires are current for medication management and restraint. The clinical manager and six of the twelve RNs have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required New Zealand Qualifications Authority approved aged care education is part of the core study days. Staff are supported to complete education via external education providers.</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 and on the staff appraisal register.</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Orientation for staff covers the essential components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Staffing levels are reviewed for anticipated workloads, identified numbers and appropriate skill mix, or as required due to changes in the services provided and the number of residents. Rosters sighted reflected staffing levels meet resident acuity and bed occupancy. Registered nurse cover is provided seven days a week. On-call arrangements are known to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staff provide them with adequate care. Care staff reported there are adequate staff available and that they are able to get through their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areas in the hospital and rest home wings, including controlled drug storage, evidence an appropriate and secure medicine dispensing system. The controlled drug register is maintained and evidenced weekly checks and six monthly physical stock takes. The medication fridge temperatures are conducted and recorded. Expired medicines are returned to pharmacy and expiry dates checked were all within dates for safe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The medication rounds were observed and evidenced that resident photos on medicines charts were not dated and did not resemble other photos in their system. One resident’s medicines file did not have photo identification and one of the charts did not have specific allergies recorded (as identified in the residents file). The medication files were typed up by the pharmacy, however, the general practitioner had not signed the chart. During the medicines round sign-off on administering medicines occurred prior to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self-administering medicines (ointments, puffers and eye drops). However, there was no consistent evidence that these residents are monitored as being competent to self-administer medicines. </w:t>
            </w:r>
          </w:p>
          <w:p w:rsidR="00EB7645" w:rsidRPr="00BE00C7" w:rsidP="00BE00C7">
            <w:pPr>
              <w:pStyle w:val="OutcomeDescription"/>
              <w:spacing w:before="120" w:after="120"/>
              <w:rPr>
                <w:rFonts w:cs="Arial"/>
                <w:b w:val="0"/>
                <w:lang w:eastAsia="en-NZ"/>
              </w:rPr>
            </w:pPr>
            <w:r w:rsidRPr="00BE00C7">
              <w:rPr>
                <w:rFonts w:cs="Arial"/>
                <w:b w:val="0"/>
                <w:lang w:eastAsia="en-NZ"/>
              </w:rPr>
              <w:t>Administration records are maintained, as are specimen signatures. Staff education in medicine management is conducted. Abbreviations used by staff are approved, known by staff and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Personal food preferences of the residents, special diets and modified nutritional requirements are known and accommodated in the daily meal plan. The food, fluid and nutritional requirements of the residents is provided in line with recognised nutritional guidelines for older people as verified by the dietitian’s documented assessment of the planned menu.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chemical use, cleaning, and food safety practices in the kitchen are monitored. A cleaning schedule was sighted as is verification of compliance. Food temperatures are recorded as are fridge, chiller and freezer temperatures.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 files confirmed they were assessed by a medical practitioner within 48 hours after admission to the service. All three monthly medical assessments are completed within the required timeframes. The previous requirement for improvement relating to medical assessment to be completed within 48 hours of admission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evidence detailed interventions based on assessed needs, desired outcomes or goals of the residents, however, this was not consistent with residents’ needs and desired outcomes in relation to wound care.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documentation and records are current. Nursing progress notes and observation charts are maintained. In interviews, staff confirmed they are familiar with the current interventions of the resident they were allocated. Residents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available that comply with best practice guidelines and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interviews, the diversional therapists (DTs) confirmed the activities programmes meet the needs of the service group and the service has appropriate equipment. There is an activities programme for the rest home, one for the hospital residents and residents under 65 have individual care plans on file which identify their individual needs and goals. The facility had three residents under 65.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those residents able to partake. The activities programmes include input from external agencies and support ordinary unplanned/spontaneous activities, including festive occasions and celebrations. There are current, individualised activities care plans in the residents’ files. The residents’ activities attendance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One-on-one activities are conducted and although the service provider records the occurrences of one-on-one activities; they do not record the duration or the content of these activities. This is a requirement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in relation to care planning evaluations are documented. The residents' care plans are up to date and reviewed six monthly. There is evidence of resident, family, health care assistants, activities staff and GP input in care plan evaluations. In interviews, residents confirmed their participation in care plan evaluations and multidisciplinary reviews. InterRAI assessments for all resident files reviewed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a resident’s progress is different than expected, the RN contacts the GP as required. Short-term care plans are in some of the residents’ files and used when required. The family are notified of any changes in resident's condition, confirmed at resident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at the facility. The business and care manager stated there have not been any alterations to the building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surveillance policy identifies the requirements around the surveillance of infections. 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a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analysis is completed, reported to staff and entered in the clinical indicators on the Oceania intranet. This information is reviewed by the Oceania clinical quality team and reported to the Oceania board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business and care manager confirmed there had been an outbreak at the facility since the last audit and this was reported to authorities as required and contained within the area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and implemented. There was one resident at the facility using an enabler and six residents using restraint on the days of the audit. The restraint and enabler use is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The approval process for enabler use is activated when a resident voluntarily requests an enabler to assist them to maintain independence and/or safety, confirmed at staff and management interviews.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7"/>
        <w:gridCol w:w="1280"/>
        <w:gridCol w:w="6639"/>
        <w:gridCol w:w="1805"/>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internal audits evidence when corrective actions are identified, these have a corrective action plan, a person responsible for the plan is identified, timeframes are recorded and the corrective action is implemented, this is signed off as completed.</w:t>
            </w:r>
          </w:p>
          <w:p w:rsidR="00EB7645" w:rsidRPr="00BE00C7" w:rsidP="00BE00C7">
            <w:pPr>
              <w:pStyle w:val="OutcomeDescription"/>
              <w:spacing w:before="120" w:after="120"/>
              <w:rPr>
                <w:rFonts w:cs="Arial"/>
                <w:b w:val="0"/>
                <w:lang w:eastAsia="en-NZ"/>
              </w:rPr>
            </w:pPr>
            <w:r w:rsidRPr="00BE00C7">
              <w:rPr>
                <w:rFonts w:cs="Arial"/>
                <w:b w:val="0"/>
                <w:lang w:eastAsia="en-NZ"/>
              </w:rPr>
              <w:t>The meeting minutes do not consistently evidence when areas requiring improvement have been identified, notation of a responsible person, timeframes for the corrective action recorded and the corrective action signed off when completed. There were a number of corrective actions that have been ongoing from meeting to meeting.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do not consistently evidence corrective actions are allocated to a staff member, given timeframes for completion and sign off when a corrective action has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corrective actions are addressed by developing and implementing a corrective action plan and recording this information.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management systems are in place and policy is accessible for guiding practice. During the medicines round there were several areas for improvement identified. Not all medicines charts had photo identification, photos of residents were not being dated and some of the photos are not sufficiently current enough to safely identify the resident by using the photo. One medicines chart did not reflect the allergies as identified in the residents’ file. The medicines charts were typed up by the pharmacy, however, the GP did not sign all charts. During the physical medicines round the RN signed medicines off prior to administration of the medicines. The checks of the medicines administration areas confirmed safe and appropriate practices.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Photos of residents were not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Some of the photos were not current enough to safely identify the resident by using the photo.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Not all medicines charts had photo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iv) One medicines chart did not reflect the resident’s allergies.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Medicines charts are typed up by the pharmacy, however, the GP did not sign all charts. </w:t>
            </w:r>
          </w:p>
          <w:p w:rsidR="00EB7645" w:rsidRPr="00BE00C7" w:rsidP="00BE00C7">
            <w:pPr>
              <w:pStyle w:val="OutcomeDescription"/>
              <w:spacing w:before="120" w:after="120"/>
              <w:rPr>
                <w:rFonts w:cs="Arial"/>
                <w:b w:val="0"/>
                <w:lang w:eastAsia="en-NZ"/>
              </w:rPr>
            </w:pPr>
            <w:r w:rsidRPr="00BE00C7">
              <w:rPr>
                <w:rFonts w:cs="Arial"/>
                <w:b w:val="0"/>
                <w:lang w:eastAsia="en-NZ"/>
              </w:rPr>
              <w:t>vi) Sign-off of medicines occurred prior to administration of the medicines.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medication management system complies with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self-administering medicines (ointments, puffers and eye drops). However, there was no consistent evidence that these residents are monitored as being competent to self-administer medicines, this is a requirement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self-administer medicines had not completed competency assessments to do so.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residents who self-administer medicines are competent to do so.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includes assessment, planning, provision, evaluation, review, and exit from care, however, when residents have unobserved falls, the service providers do not consistently complete neurological observations to ensure the safety of the resident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Unobserved falls, are not consistently monitored by timely neurological observations and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to complete neurological observations for all unobserved falls,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records and documentation for all 23 wounds recorded in their wound care folders showed that every wound was attended to. However, wound management did not consistently include a management plan, assessment records and regular photographic evidence and review. There was evidence of wounds having specialist in-put and GP notes included reference to wounds being monitored. Progress notes and handover records included evidence of wound care for the files reviewed through tracer methodology.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records are not consistently and comprehensively completed for all residents with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wounds to be comprehensively managed.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evidence a wide variety of activities for residents in the rest home and the hospital as well as residents who are under the age of 65.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one-on-one activities do not evidence the duration or type of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One-on-one activity records to include the duration and the type of activities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Melrose Park</w:t>
    </w:r>
    <w:bookmarkEnd w:id="58"/>
    <w:r>
      <w:rPr>
        <w:rFonts w:cs="Arial"/>
        <w:sz w:val="16"/>
        <w:szCs w:val="20"/>
      </w:rPr>
      <w:tab/>
      <w:t xml:space="preserve">Date of Audit: </w:t>
    </w:r>
    <w:bookmarkStart w:id="59" w:name="AuditStartDate1"/>
    <w:r>
      <w:rPr>
        <w:rFonts w:cs="Arial"/>
        <w:sz w:val="16"/>
        <w:szCs w:val="20"/>
      </w:rPr>
      <w:t>6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