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New Aged Care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HealthShare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New Aged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Glenhaven Resthome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7 November 2016</w:t>
      </w:r>
      <w:bookmarkEnd w:id="7"/>
      <w:r w:rsidRPr="009418D4">
        <w:rPr>
          <w:rFonts w:cs="Arial"/>
        </w:rPr>
        <w:tab/>
        <w:t xml:space="preserve">End date: </w:t>
      </w:r>
      <w:bookmarkStart w:id="8" w:name="AuditEndDate"/>
      <w:r w:rsidR="00A4268A">
        <w:rPr>
          <w:rFonts w:cs="Arial"/>
        </w:rPr>
        <w:t>7 November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Nil</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Glenhaven Rest Home can provide care for up to 18 residents requiring care at rest home level with 17 residents on the day of audit. This surveillance audit has been undertaken to establish compliance with a sub-set of the relevant Health and Disability Services Standards and the district health board contract.</w:t>
      </w:r>
    </w:p>
    <w:p w:rsidRPr="00A4268A">
      <w:pPr>
        <w:spacing w:before="240" w:line="276" w:lineRule="auto"/>
        <w:rPr>
          <w:rFonts w:eastAsia="Calibri"/>
        </w:rPr>
      </w:pPr>
      <w:r w:rsidRPr="00A4268A">
        <w:rPr>
          <w:rFonts w:eastAsia="Calibri"/>
        </w:rPr>
        <w:t>The audit process included the review of policies and procedures, the review of residents and staff files, observations and interviews with residents, family, management, staff and a medical officer.</w:t>
      </w:r>
    </w:p>
    <w:p w:rsidRPr="00A4268A">
      <w:pPr>
        <w:spacing w:before="240" w:line="276" w:lineRule="auto"/>
        <w:rPr>
          <w:rFonts w:eastAsia="Calibri"/>
        </w:rPr>
      </w:pPr>
      <w:r w:rsidRPr="00A4268A">
        <w:rPr>
          <w:rFonts w:eastAsia="Calibri"/>
        </w:rPr>
        <w:t>The owner/manager is responsible for the overall management of the facility and is supported by the caregivers, a clinical nurse advisor and a registered nurse. Service delivery is monitored.</w:t>
      </w:r>
    </w:p>
    <w:p w:rsidRPr="00A4268A">
      <w:pPr>
        <w:spacing w:before="240" w:line="276" w:lineRule="auto"/>
        <w:rPr>
          <w:rFonts w:eastAsia="Calibri"/>
        </w:rPr>
      </w:pPr>
      <w:r w:rsidRPr="00A4268A">
        <w:rPr>
          <w:rFonts w:eastAsia="Calibri"/>
        </w:rPr>
        <w:t xml:space="preserve">The service has addressed improvements required at certification to the following: medication reconciliation and documentation of indications for use for as required medication.  </w:t>
      </w:r>
    </w:p>
    <w:p w:rsidRPr="00A4268A">
      <w:pPr>
        <w:spacing w:before="240" w:line="276" w:lineRule="auto"/>
        <w:rPr>
          <w:rFonts w:eastAsia="Calibri"/>
        </w:rPr>
      </w:pPr>
      <w:r w:rsidRPr="00A4268A">
        <w:rPr>
          <w:rFonts w:eastAsia="Calibri"/>
        </w:rPr>
        <w:t xml:space="preserve">Improvements are required to the following: performance appraisals for staff, reviewed activity plans for residents; documentation of some aspects of medication administration and staff competencies to give medication.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interviewed are able to demonstrate an understanding of residents' rights and obligations including the complaints process. Information regarding the complaints process is available to residents and their family and complaints reviewed are investigated with documentation completed and stored in the complaints folder.  Staff communicate with residents and family members following any incident with this recorded in the resident file. Residents and family state that the environment is conducive to communication including identification of any issues.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service has a documented quality and risk management system that supports the provision of clinical care and support at the service. Policies are reviewed at least two yearly and as required with monthly resident and staff meetings in place. </w:t>
      </w:r>
    </w:p>
    <w:p w:rsidRPr="00A4268A">
      <w:pPr>
        <w:spacing w:before="240" w:line="276" w:lineRule="auto"/>
        <w:rPr>
          <w:rFonts w:eastAsia="Calibri"/>
        </w:rPr>
      </w:pPr>
      <w:r w:rsidRPr="00A4268A">
        <w:rPr>
          <w:rFonts w:eastAsia="Calibri"/>
        </w:rPr>
        <w:t xml:space="preserve">There are human resource policies documented around recruitment, selection, orientation and staff training and development. Each staff member has a file that includes an agreement, confirmation of criminal vetting and evidence of orientation and training on file.  </w:t>
      </w:r>
    </w:p>
    <w:p w:rsidRPr="00A4268A">
      <w:pPr>
        <w:spacing w:before="240" w:line="276" w:lineRule="auto"/>
        <w:rPr>
          <w:rFonts w:eastAsia="Calibri"/>
        </w:rPr>
      </w:pPr>
      <w:r w:rsidRPr="00A4268A">
        <w:rPr>
          <w:rFonts w:eastAsia="Calibri"/>
        </w:rPr>
        <w:t>Staff, residents and family confirm that staffing levels are adequate and residents and relatives have access to staff when needed. Staff are allocated to support residents as per their individual needs.</w:t>
      </w:r>
    </w:p>
    <w:p w:rsidRPr="00A4268A">
      <w:pPr>
        <w:spacing w:before="240" w:line="276" w:lineRule="auto"/>
        <w:rPr>
          <w:rFonts w:eastAsia="Calibri"/>
        </w:rPr>
      </w:pPr>
      <w:r w:rsidRPr="00A4268A">
        <w:rPr>
          <w:rFonts w:eastAsia="Calibri"/>
        </w:rPr>
        <w:t xml:space="preserve">There is a documented quality and risk management system and all aspects of service delivery are reviewed by a clinical advisor.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evidence that each stage of service provision is developed with resident and/or family input and coordinated to promote continuity of service delivery.  Resident files reviewed indicate that the resident is reviewed by the general practitioner monthly to three monthly as required. </w:t>
      </w:r>
    </w:p>
    <w:p w:rsidRPr="00A4268A" w:rsidP="00621629">
      <w:pPr>
        <w:spacing w:before="240" w:line="276" w:lineRule="auto"/>
        <w:rPr>
          <w:rFonts w:eastAsia="Calibri"/>
        </w:rPr>
      </w:pPr>
      <w:r w:rsidRPr="00A4268A">
        <w:rPr>
          <w:rFonts w:eastAsia="Calibri"/>
        </w:rPr>
        <w:t xml:space="preserve">Planned activities are appropriate to the group setting. The residents and family interviewed confirm satisfaction with the activities programme. </w:t>
      </w:r>
    </w:p>
    <w:p w:rsidRPr="00A4268A" w:rsidP="00621629">
      <w:pPr>
        <w:spacing w:before="240" w:line="276" w:lineRule="auto"/>
        <w:rPr>
          <w:rFonts w:eastAsia="Calibri"/>
        </w:rPr>
      </w:pPr>
      <w:r w:rsidRPr="00A4268A">
        <w:rPr>
          <w:rFonts w:eastAsia="Calibri"/>
        </w:rPr>
        <w:t>There is a medicine management system in place with regular and as required medication administered as prescribed.</w:t>
      </w:r>
    </w:p>
    <w:p w:rsidRPr="00A4268A" w:rsidP="00621629">
      <w:pPr>
        <w:spacing w:before="240" w:line="276" w:lineRule="auto"/>
        <w:rPr>
          <w:rFonts w:eastAsia="Calibri"/>
        </w:rPr>
      </w:pPr>
      <w:r w:rsidRPr="00A4268A">
        <w:rPr>
          <w:rFonts w:eastAsia="Calibri"/>
        </w:rPr>
        <w:t xml:space="preserve">Food, fluid, and nutritional needs of residents are provided in line with recognised nutritional guidelines and additional requirements/modified needs are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All building and plant comply with legislation with a current building warrant of fitness in place.  A preventative and reactive maintenance programme includes equipment and electrical checks.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policy and procedures and the definitions of restraint and enabler are congruent with the restraint minimisation and safe practice standard. There are no restraints or enablers in use in the facility.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prevention and control policies and procedures are adequately documented.  There is a designated infection control co-ordinator (registered nurse/clinical manager) who is responsible for ensuring monthly surveillance is completed.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58"/>
        <w:gridCol w:w="1280"/>
        <w:gridCol w:w="93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complaints policy and procedures is in line with the Health and Disability Commissioner (HDC) Code of Health and Disability Services Consumers' Rights (the Code) and includes periods for responding to a complaint.  Complaint’s forms are available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register is in place and the register includes the date the complaint was received; the source of the complaint; a description of the complaint; and the date the complaint was resolved.  Evidence relating to each lodged complaint is held in the complaint’s folder. Three complaints were tracked and the review indicates that all timeframes taken to inform the complainant and resolve the issues raised were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all state that they would feel comfortable complaining. Residents are also able to describe their understanding of the right to complain.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not been any complaints forwarded by the Health and Disability Commission or other external agencies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Accidents/incidents, the complaints procedure and the open disclosure procedure alert staff to their responsibility to notify family/enduring power of attorney of any accidents/incidents that occur.  These procedures guide staff on the process to ensure full and frank open disclosure is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the resident has an incident, accident, has made a complaint or has a change in health or a change in needs, then family are informed as confirmed in a review of accident/incident and complaints forms and in the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Files reviewed include documentation around family contact. Interviews with a family member confirm they are kept informed.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Interpreting services are available when required from the District Health Board.  There are no residents requiring interpreting services at the time of the audit. All residents interviewed confirm that staff are approachable and communicate in a way that meets their needs.  </w:t>
            </w:r>
          </w:p>
          <w:p w:rsidR="00EB7645" w:rsidRPr="00BE00C7" w:rsidP="00BE00C7">
            <w:pPr>
              <w:pStyle w:val="OutcomeDescription"/>
              <w:spacing w:before="120" w:after="120"/>
              <w:rPr>
                <w:rFonts w:cs="Arial"/>
                <w:b w:val="0"/>
                <w:lang w:eastAsia="en-NZ"/>
              </w:rPr>
            </w:pPr>
            <w:r w:rsidRPr="00BE00C7">
              <w:rPr>
                <w:rFonts w:cs="Arial"/>
                <w:b w:val="0"/>
                <w:lang w:eastAsia="en-NZ"/>
              </w:rPr>
              <w:t>An information pack is available in large print and staff interviewed advised that this could be read to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are very satisfied with support and cares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provides operational and strategic leadership for the service. There is a documented mission, values and goals. The facility can provide care for up to 19 residents requiring rest home level care. The owner/manager is on site four days a week. The registered nurse provides clinical support and oversight of the service and has over three years’ experience in aged care nursing. The registered nurse has clinical experience overseas in tutoring and in clinical practice in a hospital.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organisational policies and procedures to support service delivery.  All policies are subject to reviews with these reviewed last in 2016 and on an ongoing basis. Policies are linked to the Health and Disability Sector Standard, current and applicable legislation, contracts, and evidenced-based best practice guidelines.  The policy around wounds has been updated to include information provided by the Ministry of Health around pressure injuries. A document control system is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monitored through complaints, review of incidents and accidents, surveillance of infections and implementation of reviews against all aspects of the service by a clinical advisor. Corrective action plans are documented with evidence of resolution of issues. Quality improvement data is analysed and discussed at staff meetings. All staff interviewed report that they are kept informed of quality improvements and all aspects of the quality programme are tabled for discussion at the meetings. The three-monthly review of care is also discussed at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monthly resident meetings for those who wish to attend. Residents interviewed stated that these are useful.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risk management programme in place.  Health and safety policies and procedures are in place for the service, which includes a documented hazard management programme and a hazard register for the service. Any hazards identified are signed off as addressed or risks are minimised or isolated. An organisational risk management plan is documented. The plan is being updated to include compliance/risks related to the Health and Safety at Work Act 2015. Risks and related actions are monitored and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satisfaction survey for residents and family with this last completed by residents in 2015. There are few residents or family able to respond to the satisfaction survey.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is aware of situations in which the service would need to report and notify statutory authorities including police attending the facility, unexpected deaths, critical incidents and infectious disease outbreaks. The service is committed to providing an environment in which all staff were able, and encouraged, to recognise and report errors or mistakes and were supported through the open disclosure process. This was confirmed in interviews with staff and the registered nurse. The registered nurse can describe how appropriate authorities are informed if major or sentinel events occur.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education at orientation on the incident and accident reporting process. Staff understood the adverse event reporting process and their obligation to document all untoward events.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incident reports were selected for review.  All incidents are documented in the analysis of the incident data and reviewed and signed off by the registered nurse.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policies and processes are in place. The registered nurse (clinical nurse manager) and the clinical advisor have a current annual practising certificate with a copy on file. Current visiting practitioners’ practising certificates reviewed are current and include that of the general practitioner. Staff files include employment documentation such as job descriptions, contracts and appointment documentation on file for permanent staff however an improvement is required to a contract for the relief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Reference checking for new staff occurs as sighted on files reviewed. Criminal vetting is completed with the original form destroyed and a register documented that confirms that the there are no issues for the potential staff member. Roles have been defined for staff with a relevant job description on each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Most staff files reviewed have a current performance appraisal on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 programme is available for staff. Staff files show completion of orientation and new staff can describe the process of induction. Training is identified on an annual training plan. Evidence of training is held for all staff, with folders of attendance records retained for each staff member. A review of attendance records confirms that staff do attend the training including night staff. At times, nurses from the district health board provide the training. All staff have completed at least eight hours of relevant training for their role.  The registered nurse has completed training for interRAI assessment.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19 staff including the owner/manager, owner, registered nurse, clinical nurse advisor, activities coordinator, cleaners, cook and caregivers employed in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is the foundation for work force planning.  Staffing levels were reviewed for anticipated workloads, identified numbers and appropriate skill mix, or as required due to changes in the services provided and the number of residents.  Rosters sighted reflect staffing levels that meet resident acuity and bed occupancy.  Staff are replaced on duty if the designated staff member is on leave.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rosters included a caregiver on each shift with a second caregiver for three to four hours in the morning and afternoon. The owner/manager is on site for at least four days a week and the registered nurse is contracted to provide 30 hours a week. The registered nurse (clinical manager) is available on call.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 family member interviewed confirmed staffing is adequate to meet the residents’ need. This is reflected in the staff ability to answer call bells within two minutes as stated by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areas, including controlled drug storage areas evidence an appropriate and secure medicine dispensing system, free from heat, moisture and light, with medicines stored in original dispensed packs. One resident self-administers medication on the day of the audit and a secure place to store medication is available. Reconciliation of medicines occurs as per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authorised to administer medicines have competencies however some are out of date and the registered nurse (clinical manager) does not have a current competency. </w:t>
            </w:r>
          </w:p>
          <w:p w:rsidR="00EB7645" w:rsidRPr="00BE00C7" w:rsidP="00BE00C7">
            <w:pPr>
              <w:pStyle w:val="OutcomeDescription"/>
              <w:spacing w:before="120" w:after="120"/>
              <w:rPr>
                <w:rFonts w:cs="Arial"/>
                <w:b w:val="0"/>
                <w:lang w:eastAsia="en-NZ"/>
              </w:rPr>
            </w:pPr>
            <w:r w:rsidRPr="00BE00C7">
              <w:rPr>
                <w:rFonts w:cs="Arial"/>
                <w:b w:val="0"/>
                <w:lang w:eastAsia="en-NZ"/>
              </w:rPr>
              <w:t>The medication round was observed and evidenced the staff member was knowledgeable about the medicine administered and signed off, as the dose was administered. Administration records are maintained, as are specimen signatures. Staff education in medicine management is conducted.</w:t>
            </w:r>
          </w:p>
          <w:p w:rsidR="00EB7645" w:rsidRPr="00BE00C7" w:rsidP="00BE00C7">
            <w:pPr>
              <w:pStyle w:val="OutcomeDescription"/>
              <w:spacing w:before="120" w:after="120"/>
              <w:rPr>
                <w:rFonts w:cs="Arial"/>
                <w:b w:val="0"/>
                <w:lang w:eastAsia="en-NZ"/>
              </w:rPr>
            </w:pPr>
            <w:r w:rsidRPr="00BE00C7">
              <w:rPr>
                <w:rFonts w:cs="Arial"/>
                <w:b w:val="0"/>
                <w:lang w:eastAsia="en-NZ"/>
              </w:rPr>
              <w:t>Medicine charts evidence legibility, as required (PRN) medication is identified for individual residents and correctly prescribed and three monthly medicine reviews are conducted. The residents' medicine charts record all medications a resident is taking (including name, dose, frequency and route to be given). Residents’ medication files evidence that discontinued medicines are signed and dated by the general practitioner.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Improvements are required to documentation of controlled drugs and residents' photo identification.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policies and procedures are appropriate to the service setting with a menu reviewed by a dietitian. The cook has completed food safety training. The service is currently recruiting for a second cook and a caregiver who has been a cook in the past is covering food services for one day a week. </w:t>
            </w:r>
          </w:p>
          <w:p w:rsidR="00EB7645" w:rsidRPr="00BE00C7" w:rsidP="00BE00C7">
            <w:pPr>
              <w:pStyle w:val="OutcomeDescription"/>
              <w:spacing w:before="120" w:after="120"/>
              <w:rPr>
                <w:rFonts w:cs="Arial"/>
                <w:b w:val="0"/>
                <w:lang w:eastAsia="en-NZ"/>
              </w:rPr>
            </w:pPr>
            <w:r w:rsidRPr="00BE00C7">
              <w:rPr>
                <w:rFonts w:cs="Arial"/>
                <w:b w:val="0"/>
                <w:lang w:eastAsia="en-NZ"/>
              </w:rPr>
              <w:t>The cook confirmed they are aware of the residents’ individual dietary needs with these documented on a register. The residents' dietary requirements are identified, documented and reviewed with the review held in the resident file. The kitchen staff state that they are informed if resident's dietary requirements change.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demonstrate monthly monitoring of individual resident's weight. In interviews, residents stated they were satisfied with the food service, reported their individual preferences were met and adequate food and fluids were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temperatures are recorded daily with these within normal range. Fridge and freezer temperatures are taken and are within normal range. All food is covered, dated and food is covered and off the floor.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care plans evidence interventions based on assessed needs, desired outcomes or goals of the residents. Short-term care plans are documented for short-term needs such as infections and wounds.  There is evidence that these are linked to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practitioner documentation and records are current. In interviews, residents and family confirmed that the resident’s current care and treatments met their needs. Family communication is recorded in the residents’ files. Nursing progress notes and observation charts are maintained. In interviews, staff confirmed they are familiar with the current interventions of the resident they were allocated.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 confirms the activities programme meets the needs of the service group and the service has appropriate equipment. The activities coordinator has been providing activities for 20 hours a week with a new staff employed to take over the provision of activities. They are expected to offer 16 hours of activities, five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activities assessment is completed on entry to the service and goals and a plan documented. Attendance records are maintained with a monthly evaluation of the activities for each resident. Regular exercises and outings are provided for residents and all residents are very active in the community. Most interviewed stated that they wished to continue with independent activities and did not require group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plans are reviewed however these should be reviewed at the same time as the care plans. The activities programme is displayed for the month and activities include arts, crafts, intellectual activities and spiritual offerings.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Periods in relation to care planning evaluations are documented. The residents' long-term care plans are reviewed six monthly. There is evidence of resident, family and caregiver input in care plan evaluations.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progress records are entered on each shift. When resident’s progress is different than expected, the registered nurse contacts the general practitioner as confirmed by the general practitioner interviewed. Short-term care plans are in place in residents’ files, when required.  The family are notified of any changes in resident's condition as confirmed by the family member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are updated when changes occur.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posted in a visible location at the entrance to the facility (expiry date February 2017).  There have been no building modifications since the last audit. The owner/manager completes maintenance with a planned approach to addressing issues. The lounge areas are designed so that space and seating arrangements provide for individual and group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Equipment relevant to care needs is available and staff confirm that there is always sufficient.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test and tag programme is in place. Equipment is calibrated.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safe external areas for residents and family to meet/use and these include paths, seating and shade.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Fire exit doors are clearly labelled and able to be opened in the event of an emergency.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(clinical manager) is responsible for the surveillance programme for the service. Clear definitions of surveillance and types of infections (e.g. facility-acquired infections) are documented to guide staff. Information is collated on a monthly basis with the information documented in the infection log maintained by the registered nurse. Antibiotic use is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in monthly staff meeting minutes of discussion around infections noting that there are few infections in the facility. The clinical advisor also reviews the infection control programme including review of trends at three monthly intervals. Residents with infections have short-term care plans mostly completed to ensure effective management and monitoring of infections.  Interviews confirm information relating to infections is made available for staff during handover and at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definition of restraint and enabler is congruent with the definition in the standard. There are no residents using enablers in the facility and there is no evidence of use of restraint. Staff confirm that that enablers and restraint are not used.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approval process for enabler use is activated when a resident voluntarily requests an enabler to assist them to maintain independence and/or safety as confirmed at staff and management interviews.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79"/>
        <w:gridCol w:w="1280"/>
        <w:gridCol w:w="4953"/>
        <w:gridCol w:w="2228"/>
        <w:gridCol w:w="159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training calendar and training has been completed in line with the schedule. Training sessions are well attended by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did not have additional infection control training and has not completed training around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appraisal process documented in the policy manual with an associated template. The registered nurse is aware that staff are expected to have an annual performance appraisal and one staff file has a current performance appraisal on file. Performance appraisals have been completed in the past but are no longer current.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five staff files do not have a current performance appraisal on file.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Ensure that all staff have a current performance appraisal on file.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 charts have a resident’s photo in place. Other forms of identification are used by the caregiver administering medication on the day of the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photos do not consistently record the date the photo was taken and confirmation of the true likeness of the resident.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 that residents’ photos on the medication charts are dated and confirm true likeness of the resident.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of the three staff who administer medication have a competency on file. Some other staff have completed an annual competency.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staff who administer medications do not have a current medication competency on file including the registered nurse who administers medications.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staff have an annual medication competency on file.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Controlled drugs are prescribed appropriately and there is a storage facility that is a safe in a locked cupboard. Balances checked on the day of audit match those entered into the controlled drug book. In the past there have been weekly stocktakes of controlled medication however these have not been kept up in the last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staff sign the entry in the controlled drug book however only one signs in the administration record.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Stocktakes of controlled medication do not occur weekly. </w:t>
            </w:r>
          </w:p>
          <w:p w:rsidR="00EB7645" w:rsidRPr="00BE00C7" w:rsidP="00BE00C7">
            <w:pPr>
              <w:pStyle w:val="OutcomeDescription"/>
              <w:spacing w:before="120" w:after="120"/>
              <w:rPr>
                <w:rFonts w:cs="Arial"/>
                <w:b w:val="0"/>
                <w:lang w:eastAsia="en-NZ"/>
              </w:rPr>
            </w:pPr>
            <w:r w:rsidRPr="00BE00C7">
              <w:rPr>
                <w:rFonts w:cs="Arial"/>
                <w:b w:val="0"/>
                <w:lang w:eastAsia="en-NZ"/>
              </w:rPr>
              <w:t>Only one staff signs in the administration record.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w:t>
              <w:tab/>
              <w:t xml:space="preserve">Ensure that stocktakes of controlled medication occur weekly. </w:t>
            </w:r>
          </w:p>
          <w:p w:rsidR="00EB7645" w:rsidRPr="00BE00C7" w:rsidP="00BE00C7">
            <w:pPr>
              <w:pStyle w:val="OutcomeDescription"/>
              <w:spacing w:before="120" w:after="120"/>
              <w:rPr>
                <w:rFonts w:cs="Arial"/>
                <w:b w:val="0"/>
                <w:lang w:eastAsia="en-NZ"/>
              </w:rPr>
            </w:pPr>
            <w:r w:rsidRPr="00BE00C7">
              <w:rPr>
                <w:rFonts w:cs="Arial"/>
                <w:b w:val="0"/>
                <w:lang w:eastAsia="en-NZ"/>
              </w:rPr>
              <w:t>ii)</w:t>
              <w:tab/>
              <w:t>Ensure that two staff sign in the administration record when controlled drugs are administered.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has an assessment and plan around activities.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 plans are not reviewed six monthly in line with review of care plans.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each activity plan in line with review of care plans and update as changes occur.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New Aged Care Limited</w:t>
    </w:r>
    <w:bookmarkEnd w:id="58"/>
    <w:r>
      <w:rPr>
        <w:rFonts w:cs="Arial"/>
        <w:sz w:val="16"/>
        <w:szCs w:val="20"/>
      </w:rPr>
      <w:tab/>
      <w:t xml:space="preserve">Date of Audit: </w:t>
    </w:r>
    <w:bookmarkStart w:id="59" w:name="AuditStartDate1"/>
    <w:r>
      <w:rPr>
        <w:rFonts w:cs="Arial"/>
        <w:sz w:val="16"/>
        <w:szCs w:val="20"/>
      </w:rPr>
      <w:t>7 November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