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Court||Kandahar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2016</w:t>
      </w:r>
      <w:bookmarkEnd w:id="7"/>
      <w:r w:rsidRPr="009418D4">
        <w:rPr>
          <w:rFonts w:cs="Arial"/>
        </w:rPr>
        <w:tab/>
        <w:t xml:space="preserve">End date: </w:t>
      </w:r>
      <w:bookmarkStart w:id="8" w:name="AuditEndDate"/>
      <w:r w:rsidR="00A4268A">
        <w:rPr>
          <w:rFonts w:cs="Arial"/>
        </w:rPr>
        <w:t>21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Kandahar Home and Kandahar Court are part of the Presbyterian Support Central (PSC) organisation.  The service provides rest home, hospital and dementia levels of care for up to 88 residents between Kandahar Home (63 rest home and hospital beds) and Kandahar Court (25 dementia care beds).  On the day of the audit there were 56 residents. </w:t>
      </w:r>
    </w:p>
    <w:p w:rsidRPr="00A4268A">
      <w:pPr>
        <w:spacing w:before="240" w:line="276" w:lineRule="auto"/>
        <w:rPr>
          <w:rFonts w:eastAsia="Calibri"/>
        </w:rPr>
      </w:pPr>
      <w:r w:rsidRPr="00A4268A">
        <w:rPr>
          <w:rFonts w:eastAsia="Calibri"/>
        </w:rPr>
        <w:t>The service is overseen by an interim facility manager, who is a registered nurse and well qualified and experienced for the role. A facility manager has been recruited and appointed.  The facility manager and clinical nurse manager are supported by the registered nurses and the regional operations manager.   Residents and family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has achieved a continual improvement related to food services.</w:t>
      </w:r>
    </w:p>
    <w:p w:rsidRPr="00A4268A">
      <w:pPr>
        <w:spacing w:before="240" w:line="276" w:lineRule="auto"/>
        <w:rPr>
          <w:rFonts w:eastAsia="Calibri"/>
        </w:rPr>
      </w:pPr>
      <w:r w:rsidRPr="00A4268A">
        <w:rPr>
          <w:rFonts w:eastAsia="Calibri"/>
        </w:rPr>
        <w:t>This audit has identified the following areas requiring improvement: incident reporting, ensuring scheduled meetings are held, completion of advance directives and restraint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PSC Kandahar continues to implement the Presbyterian Support Services Central quality and risk management system that supports the provision of clinical care.  Key components of the quality management system link to monthly senior team meetings.  An annual resident satisfaction survey is completed and there are regular resident and family meetings.  There are human resources policies including recruitment, selection, orientation and staff training and development.  The service has a documented induction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Kandahar Home and Kandahar Court have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Kandahar Home and Kandahar Court including lounge and dining areas and small seating areas.  There is a designated laundry and cleaner’s rooms.  The service has implemented policies and procedures for civil defence and other emergencies and six monthly fire drills are conducted.  External garden areas are available with suitable pathways, seating and shade provided. There is a secure outdoor walking path and garden area for the dementia area at Kandahar Court.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is currently one hospital level resident requiring restraint and no residents using enablers.  Staff are trained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1"/>
        <w:gridCol w:w="1280"/>
        <w:gridCol w:w="98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eight healthcare assistants (three rest home, three hospital and two dementia level) identified their familiarity with the Code of Rights.  Interviews with ten residents (seven rest home and three hospital) and nine family members (five rest home, two hospital and two dementia level)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and is committed to meeting the requirements of the Code of Health and Disability Services Consumers Rights.  There are signed general consents, including outings, on nine of nine resident files sampled (three hospital – one of which was respite, four rest home and two dementia level care residents).  Resuscitation treatment plans were appropriately signed in the hospital and rest home files reviewed but not for the dementia files.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that the service actively involves them in decisions that affect their/their relative’s lives.</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six-monthly multidisciplinary review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Two complaints have been made since the last audit in February 2016.  One complaint was lodged with the Health &amp; Disability Commissioner; a letter has been received recently stating that there would be no further action taken. The two complaints reviewed were appropriately investigated and resolved to the satisfaction of the complainant, any corrective actions identified were implemented.  Discussion with residents and relatives confirmed they were aware of how to make a complaint.  A copy of the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facility.  Code of Rights posters were on the walls in the hallways.  Client right to access advocacy services is identified for residents and advocacy service leaflets were available at the front entrance foyer.  Information is also given to next of kin or enduring power of attorney (EPOA) to read to and discuss with the resident in private.  Residents and families at interview confirmed they were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both facilities confirms there is the ability to support personal privacy for residents.  Staff were observed to be respectful of residents’ personal privacy by knocking on doors prior to entering resident rooms during the audit.  Residents and families interviewed confirmed that staff were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residents identifying as Māori including a Māori health plan.  The service's philosophy results in each person's cultural needs being considered individually.  On the day of the audit, there were two residents that identified as Māori within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 their understanding of discrimination and exploitation and could describe how professional boundaries are maintained.  Discussions with residents identify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and dementia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dementia level care. Staff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interviewed stated they were welcomed on entry and were given time and explanation about the services and procedures.  Incident forms have a section to indicate if family have been informed (or not) of an accident/incident.  Forms reviewed for October 2016 identified family were notified following a resident incident.  Interviews with healthcare assistants inform family are kept informed.  Relatives interviewed confirmed they were notified of any changes in their family member’s health status.  Discussions with residents and family members confirmed they were given time and explanation about services on admission.  Resident meetings occur at Kandahar Home and family meetings at both Kandahar Home and Court. (Resident meetings occur every three months and relative meetings are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Homes are part of the Presbyterian Support Central (PSC) organisation.  The service provides rest home, hospital and dementia care levels of care for up to 88 residents between Kandahar Home (33 rest home beds and 30 hospital beds) and Kandahar Court (25 dementia care beds).  On the day of the audit there were 56 residents.  There were 22 rest home level residents, 16 hospital level residents, including two residents on respite and 18 residents in the dementia unit, including one resident on respite.  There were no resident’s under the medical component of the certificate.  All residents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was an interim facility manager at PSC Kandahar who commenced in September 2016.  Advised by the regional manager, that a new facility manager had been appointed and will commence from 15 November 2016.  There is a clinical nurse manager and clinical coordinator (Kandahar Court) who provide support to the facility manager.  The clinical nurse manager has been in the position since August 2016 and has over 17 years’ experience within the aged care industry.  The clinical coordinator has worked at the service for over twenty years and three years in the dementia unit.  There is also a quality coordinator/educator, who is a registered nurse (RN) and has been in the role for five years with experience in aged care.  The facility manager is supported by a regional manager (non-clinical) who visits the site weekly and was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Kandahar has a 2016-2017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taken to the monthly senior management team meeting.  The goals for 2015-2016 business plan have been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(e.g. annual leave) of the facility manager and would be supported by the regional manager and the Presbyterian Support Central (PSC)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overall Quality Monitoring Programme (QMP) and PSC Kandahar participates in the PSC benchmarking programme.  The service has a quality coordinator.  The senior team meeting acts as the quality committee and they meet twice a month.  Information is fed back to the monthly clinical focused meetings and staff meetings. There is an annual meeting schedule including staff (full facility) meetings.  Staff meetings are scheduled to be held monthly but these have not always occurred.   Meeting minutes and reports are provided to the quality meeting, actions are identified in minutes and quality improvement forms, which are being signed off and reviewed for effectiveness.  The facility manager had an understanding of the contractual agreements and requirements.  The regional manager has provided oversight and support to the facility manager on a weekly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adhered to for 2015 and 2016 (year to date).  Data is collected in relation to a variety of quality activities, including accidents/incidents, falls and infection control.  There has been no discussion around quality data trend analysis at staff meetings since the last audit.  The service has a health and safety management system and this includes a health and safety rep that has completed health and safety training.  Monthly reports are completed and reported to meetings and at the quarterly health and safety committee.  Health and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quality coordinator is responsible for document control within the service; ensuring staff are kept up to date with the changes.  An organisational staff training programme is being implemented and based around policies and procedures.  A resident satisfaction survey is completed annually.  The 2015 survey informed an overall satisfaction with the service for residents at 87.0% and an overall satisfaction with the service for relatives at 84.1%.  The 2016 resident/relative survey is to be sent out on 25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However, incident reports were not evidenced to be completed for all adverse events.  The data is linked to the service benchmarking programme and this is able to be used for comparative purposes with other similar services (link 1.2.3.6).  Nine incident forms for Kandahar Home (hospital/rest home) and seven incident forms for Kandahar Court (dementia care unit) for October 2016 were sampled.  All incident forms have been fully completed and residents reviewed by a registered nurse.  There is documented evidence of relative notification on all 16 accident/incident forms.  Discussions with the regional manager and interim facility manager,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general practitioners and other registered health professionals are kept.  Nine staff files were reviewed (one clinical nurse manager, one clinical coordinator, two registered nurses, two healthcare assistants, one cook, one recreational officer and one enrolled nurse/health and safety officer).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The clinical nurse manager recently completed an orientation programme.  A training programme is being implemented that includes eight hours of annual education.  The registered nurses and care staff attend PSC professional study days, which cover the mandatory education requirements and other clinical requirements.  Attendance is monitored.  The staff training plan includes regular sessions occurring as per the monthly calendar.  Twenty-three of twenty-three healthcare assistants who are employed in the dementia care unit have completed their dementia specific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 work full-time.  Registered nurses cover each 24-hour period in the hospital/rest home area.  Agency staff are used to provide cover for sickness if necessary.  The HCA numbers per area are adequate.  Interviews with HCA’s, residents and family members identify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staff rostered in the dementia unit, there is an RN rostered on 7 days a week, 8.00am to 4.30pm Monday to Friday and in the weekends 7.00am to 3.30pm.  There are at least four HCA’s on the AM, PM shifts and two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and or relatives receive an information pack outlining services able to be provided, the admission process and entry to the service and also contains all relevant information for dementia level care.  Residents and relatives interviewed confirmed they received information prior to admission and had the opportunity to discuss the admission agreement with the manager and clinical nurse manager.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procedures in place.  Transfers are planned and coordinated in consultation with the family/whānau as appropriate.  All relevant information is documented and communicated to the receiving health provider or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The service has four-weekly medico blister packs.  Blister pack medications are checked on arrival at each site by a registered nurse.  There is a signed agreement with the providing pharmacy.  Four medication storage areas were audited.  Medicines are appropriately stored in accordance with relevant guidelines and legislation.  Weekly stocktakes of controlled medication are undertaken by the registered nurses. Fridge temperatures are routinely checked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healthcare assistants (HCAs) who have attained competency in medication administration, administer medications.  Some HCAs have competency for checking of medications only.  Eighteen individual resident’s medication charts were sighted.  There were no standing orders.  Individual residents have a range of ‘PRN’ medications prescribed, should they be required, with indications for use.  The general practitioners review medications three-monthly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self-medicating policy includes procedures on the safe administration of medicines.  There is currently one rest home resident who self-medicates an inhaler.  Self-medicating competency is included in the three-monthly medication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undertakes a medication audit six-monthly.  The pharmacy undertakes a full count of controlled medications when delivered and have completed six-monthly audits of controlled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in the main kitchen in Kandahar Home. Meals are transported in a van to Kandahar Court kitchen in insulated hot boxes. There is a four-weekly rotating menu which had been reviewed by a dietitian.  Meals are prepared in a well-appointed kitchen adjacent to the rest home dining room and served directly to rest home residents.  Hospital and dementia unit residents have their own dining rooms with an adjacent kitchen servery.  Kitchen staff are trained in safe food handling and food safety procedures were adhered to.  Staff were observed assisting residents with their lunchtime meals and drinks.  Diets are modified as required.  Resident dietary profiles and likes and dislikes are known to food services staff and any changes are communicated to the kitchen, via the registered nurses.  Supplements are provided to residents with identified weight loss issues.  Weights are monitored monthly or more frequently if required and as directed by a GP/dietitian.  Resident meetings and surveys allow for the opportunity for resident feedback on the meals and food services generally.  Residents and family members interviewed indicated satisfaction with the food service. There are snacks available in the dementia unit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entry to the service is declined, the resident is referred to the referrer to ensure that the resident is admitted to the appropriate level of care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an initial assessment on admission including risk assessment tools.  Resident needs and supports are identified through the ongoing assessment process in consultation with significant others.  InterRAI assessments had been completed in all permanent resident files reviewed. Care plans sampled were developed on the basis of these assessments.  The recreation staff complete an activity assessment that identifies individual activities and preferences and transfers this information into each resident’s recreation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resident-focused.  All identified support needs were included in the care plans for nine of nine files sampled.  Care plans sampled, evidenced resident (as appropriate)/family/whanau involvement in the care plan process.  Relatives interviewed confirmed they are involved in the care plan process.  Resident files demonstrate service integration.   Care plans included appropriate interventions, strategies for managing challenging behaviours and monitoring behaviour charts were in use when appropriate. </w:t>
            </w:r>
          </w:p>
          <w:p w:rsidR="00EB7645" w:rsidRPr="00BE00C7" w:rsidP="00BE00C7">
            <w:pPr>
              <w:pStyle w:val="OutcomeDescription"/>
              <w:spacing w:before="120" w:after="120"/>
              <w:rPr>
                <w:rFonts w:cs="Arial"/>
                <w:b w:val="0"/>
                <w:lang w:eastAsia="en-NZ"/>
              </w:rPr>
            </w:pPr>
            <w:r w:rsidRPr="00BE00C7">
              <w:rPr>
                <w:rFonts w:cs="Arial"/>
                <w:b w:val="0"/>
                <w:lang w:eastAsia="en-NZ"/>
              </w:rPr>
              <w:t>Short-term plans are used for short term needs. Short-term care plans sited in resident files were for wounds, prevention of pressure injury, falls risk, pain, challenging behaviour, infection, weight gain and weight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a registered nurse initiates a review and if required, GP or nurse specialist consultation. The family members confirmed on interview they are notified of any changes to their relative’s health including (but not limited to): accidents/incidents, infections, health professional visits and changes in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specialist input from the DHB liaison nurse in the dementia unit.  Strategies for the provision of a low stimulus environment could be described by the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and cupboards.  Wound management policies and procedures are in place.  Wound assessments, treatment and evaluations were in place for all current wounds, skin tears and pressure injuries.  There is evidence of nurse practitioner and DHB wound care nurse specialist involvement in the treatment of chronic wounds/pressure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Nutritional requirements and assessments are completed on admission identifying resident nutritional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staff in the recreation team.  A recreation officer is rostered to work in Kandahar Court (dementia unit) 12.30 -18.00hrs over seven days a week (the recreation officer is enrolled in DT training with Careerforce and has completed ACE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The team leader recreation officer works 40 hours per week in Kandahar Home Monday- Friday. Resources are available at both sites for care staff to access when recreation staff are not at work.  There are recreational programmes running that are meaningful and reflect ordinary patterns of life.  During the audit, residents were observed participating in a variety of activities.  There is evidence of the wider community involvement with outings each week to local places of interest, visits to the local library, guest speakers, monthly church services, inter-rest home bowls competitions and pre-school groups visiting.  Entertainers come to the facility weekly and volunteers provide regular support to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input into review of the programme via the resident survey and this feedback is considered in the development of the resident’s activity programme. The activity programme is developed a week in advance   Residents and families interviewed report satisfaction with the activities programme.  The Eden philosophy is implemented and residents’ skills and abilities are celebrated and valued within the programme. One rest home resident interviewed has a keen interest in craft, jewellery making, sculpting and other art projects. The service has provided a designated “work room” where the resident can be creative and display all arts and crafts projects. The residents interviewed enjoy planting and harvesting the vegetable garden, looking after the chickens, singing in choir, quizzes, team games, crafts, outings and entertainment.</w:t>
              <w:br/>
              <w:t xml:space="preserve">An activity profile is completed on admission in consultation with the resident/family (as appropriate). The activities documentation in the resident files sampled reflects the specific requirements of each resident and includes activities which could be used to distract behaviours. The recreational plans had been reviewed six-monthly.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sampled were evaluated by a registered nurse within three weeks of admission.  Long-term care plans have been reviewed at least six-monthly or earlier for any health changes. Reassessments have been completed using interRAI LTCF for all residents who have had a significant change in health status.  In resident files sampled, short-term care plans were evidenced evaluated and resolved or added to the long-term care plan if the problem is ongoing.  The multidisciplinary team (MDT) includes the GP, the nurse practitioner and pharmacist.   The GP reviews medications three-monthly and the NP undertakes a detailed three-monthly review of the resident.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Examples of referrals sighted were to the psycho-geriatrician, geriatrician, physiotherapist, eye specialist, occupational therapist, podiatrist and hospital nurse specialists including the lymph-oedema nurse, respiratory nurse, diabetes nurse, dementia nurse and palliative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sites have a current building warrant of fitness, which expire 01-07-2017.  Health and safety meetings have been held quarterly. Minutes of health and safety meetings reviewed evidenced discussion of revisions made to accident, incident and near miss policy to align with new Health and Safety Act. Hot water temperatures are checked monthly.  Medical equipment and electrical appliances have been tested,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Healthcare assistants interviewed confirmed there was adequate equipment to carry out the care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Kandahar Court have access to safely designed external areas that have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sufficient numbers of resident communal toilets in close proximity to resident rooms and communal areas.  Visitor toilet facilities were available.  Residents interviewed state their privacy and dignity was maintained while attending to their personal cares and hygiene.  The communal toilets and showers were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were spacious enough to meet the assessed resident needs.  Residents were able to manoeuvre mobility aids around the bed and personal space.  All beds were of an appropriate height for the residents.  Healthcare assistants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lounges and small seating areas in the Kandahar Home and Kandahar Court.  The dining rooms were spacious and located directly off the kitchen/servery area.  All areas are easily accessible for the residents.  The furnishings and seating are appropriate for the consumer group.  Residents interviewed report they were able to move around the facility and staff assisted them when required.  Activities take place in any of the lounges in the dementia unit (Kandahar Court).  In Kandahar Home, there is a large recreation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laundered by designated laundry staff at Kandahar Home. There are secure cleaners’ cupboards with cleaners trolleys.  Staff have attended infection control and safe chemical handling education and there was appropriate protective clothing available.  Manufacturer’s data safety charts are available.  Residents and family interviewed reported satisfaction with the laundry service and cleanliness of resident rooms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blankets, torches, batteries and radio.  </w:t>
            </w:r>
          </w:p>
          <w:p w:rsidR="00EB7645" w:rsidRPr="00BE00C7" w:rsidP="00BE00C7">
            <w:pPr>
              <w:pStyle w:val="OutcomeDescription"/>
              <w:spacing w:before="120" w:after="120"/>
              <w:rPr>
                <w:rFonts w:cs="Arial"/>
                <w:b w:val="0"/>
                <w:lang w:eastAsia="en-NZ"/>
              </w:rPr>
            </w:pPr>
            <w:r w:rsidRPr="00BE00C7">
              <w:rPr>
                <w:rFonts w:cs="Arial"/>
                <w:b w:val="0"/>
                <w:lang w:eastAsia="en-NZ"/>
              </w:rPr>
              <w:t>The backup generators are run for half an hour monthly. Emergency lighting is checked.  There is a barbeque and gas bottles for alternative cooking source. The staff interviewed were able to describe the emergency management plan and how to implement this.  Fire training and security situations are part of orientation of new staff.  A minimum of one person trained in first aid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an external window providing natural 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In June 2016, PSC introduced a new software programme to assist with benchmarking of data. Summaries of these results are reported back through the senior management meeting however; trend analysis was not evidenced as discussed at staff meetings (link to 1.2.3.6).  The scope of the infection control programme policy and infection control programme description is available.  There is an implemented infection control programme that is linked into the risk management system.  The infection control coordinator (registered nurse) provides feedback at staff meetings. Spot audits have been conducted and include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are responsible for the development of the infection control programme and its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discussed at monthly senior management/team leader meetings and staff meetings.  The staff meetings are attended by a cross section of staff from all areas of the service including: management, clinical, kitchen, cleaning, laundry and maintenance.  The service also has access to the PSC clinical director and nurse consultant, the DHB infection control nurse specialist, public health and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(registered nurse) has completed a level 7 qualification in infection control.  The IC coordinator has maintained skills and knowledge of infection control practice through attendance at the annual PSC infection control nurse peer support day.  The infection control coordinator also has access to the microbiologist, pharmacist, DHB infection control nurse, Public Health, Med Lab, GP’s,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orientation to all new staff.  Infection control education is part of the professional nurses and healthcare assistants study days that are held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at PSC Kandahar.  Internal infection control audits also assist the service in evaluating infection control needs.  There is liaison with the GP and lab staff that advise and provide feedback/information to the service.  The GP and the service monitor the use of antibiotics.  Infection control data is collated monthly and reported to the senior management/team leader and staff meetings, however, trend analysis was not evidenced as discussed at staff meetings (link to 1.2.3.6).  The senior management/team leader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were evidenced as completed for infections.  There have been no outbreaks reported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restraint minimisation and safe practice policy in place.  There is a documented definition of restraint and enablers, which are congruent with the definition in NZS 8134.0.  The policy includes restraint procedures.  Enablers are voluntary.  There was one hospital resident with a restraint and no residents requiring the use of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are trained in restraint minimisation, challenging behaviour and de-escalation and competencies are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Assessment and approval process for restraint use includes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file sampled.  The restraint coordinator, the resident and/or their representative and a medical practitioner were involved in the assessment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assessment and MDT approval processes.   The hospital resident’s file reviewed had a completed comprehensive assessment form and a care plan that reflected risk.  Monitoring forms reviewed did not consistently evidence that monitoring was occurring in the prescribed timeframes.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six months.  In the restraint file reviewed, six-monthly evaluation had not occurred as the resident had recently been assessed for the use of restraint.   Restraint practices are reviewed on a formal basis every month by the facility restraint coordinator at senior management/team leader meetings and at staff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review of restraint use was evidenced to be conducted annually by the PSC resident safety group.  A review of all enabler and restraint use occurs monthly at the senior management/team leader meetings and audits are completed as part of the quality monitoring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1"/>
        <w:gridCol w:w="1280"/>
        <w:gridCol w:w="2294"/>
        <w:gridCol w:w="1981"/>
        <w:gridCol w:w="1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rest home and hospital, resuscitation plans were correctly signed in seven of seven files viewed.  Two files also contained advance care plans which were correctly signed by the resident.  Two advance care plans of dementia residents were evidenced to be signed by EPOAs.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advance care plans of dementia residents were evidenced to be signed by EPOAs.  RNs interviewed lacked knowledge around informed consent and completion of advanced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advance care plan/directives are signed by the resident assessed as competent to make an informed decision.  Ensure RNs are trained around advanced directives/informed consent.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including accidents/incidents, falls and infection control.  There has been no discussion around quality data trend analysis at staff meetings since the last audit in February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documented discussion around accidents/incidents, falls and infection trend analysis at staff meetings since the last audit in February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accidents/incidents, falls and infection trend analysis is discussed in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meeting schedule including staff (full facility) meetings.  Staff meetings are scheduled to be held monthly but these have not always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staff meetings being held in April, May and July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scheduled staff meetings are held.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This includes the collection of incident and accident information.  Pressure injuries were not all included on an incident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a completed incident form for a pressure injury that was identified on 21 July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incident forms are completed for all pressure injuries that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were evidenced completed for one resident requiring the use of a restraint. However, monitoring of the restraint when in use was not evidenced to be completed within the prescribed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of restraint when in use was evidenced to be documented as occurring two hourly and not hourly as prescribed in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of the resident during the use of restraint is completed in the timeframe prescribed to minimise the risks around the use of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2682"/>
        <w:gridCol w:w="87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is able to meet the nutritional needs of residents in the rest home, hospital and dementia units.  The kitchen staff have completed food safety training.  The cooks follow a four-weekly seasonal menu, which is reviewed by a dietitian and adapted to reflect resident preference.  The service has exceeded the service standards for meal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response to results from resident and relative satisfaction surveys around improvements required to the meal services in October 2015, the service reviewed the menu, meals, dining room décor and the kitchen and meal services.  A plan was put in place to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The plan included training for staff and a change to meal services.  The service now offers a continental breakfast which is available from 6am in the dining room in both Kandahar Home and Kandahar Court for any residents who wish to eat early and are able to serve themselves.  There is a designated “director of meal service” appointed at each meal time. This person ensures that the kitchen hands serve the correct portion size and cater for individual resident’s likes and dislikes.  A review of the menu was completed and suggestions from residents were acted upon and meals reflect resident preferences. The menu has enticing names for the meals to encourage resident appetite.  The puree meals have also been reviewed and are now presented in a very attractive manner.  This accompanied with additional initiatives such as the Kandahar Café, cards with “Grace” prayer written in English and te reo Māori have been provided, larger noticeboards with the menu clearly displayed in each area have been provided, table decorations and place mats made by residents and repainting the dining areas has resulted in increased resident satisfaction.</w:t>
            </w:r>
          </w:p>
          <w:p w:rsidR="00EB7645" w:rsidRPr="00BE00C7" w:rsidP="00BE00C7">
            <w:pPr>
              <w:pStyle w:val="OutcomeDescription"/>
              <w:spacing w:before="120" w:after="120"/>
              <w:rPr>
                <w:rFonts w:cs="Arial"/>
                <w:b w:val="0"/>
                <w:lang w:eastAsia="en-NZ"/>
              </w:rPr>
            </w:pPr>
            <w:r w:rsidRPr="00BE00C7">
              <w:rPr>
                <w:rFonts w:cs="Arial"/>
                <w:b w:val="0"/>
                <w:lang w:eastAsia="en-NZ"/>
              </w:rPr>
              <w:t>To effectively evaluate progress, the service conducted weekly “smiley face” surveys from October 2015- February 2016 with a focus group of ten residents. Results were analysed at weekly meetings and progress was graphed. A review of data evidences that of the eighteen objectives around the meal service, all have evidenced a substantial increase in resident satisfaction.  The facility presented their project and results at PSC Care Metric study day.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w:t>
    </w:r>
    <w:bookmarkEnd w:id="58"/>
    <w:r>
      <w:rPr>
        <w:rFonts w:cs="Arial"/>
        <w:sz w:val="16"/>
        <w:szCs w:val="20"/>
      </w:rPr>
      <w:tab/>
      <w:t xml:space="preserve">Date of Audit: </w:t>
    </w:r>
    <w:bookmarkStart w:id="59" w:name="AuditStartDate1"/>
    <w:r>
      <w:rPr>
        <w:rFonts w:cs="Arial"/>
        <w:sz w:val="16"/>
        <w:szCs w:val="20"/>
      </w:rPr>
      <w:t>20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