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Rosedale Village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Rosedale Village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2016</w:t>
      </w:r>
      <w:bookmarkEnd w:id="7"/>
      <w:r w:rsidRPr="009418D4">
        <w:rPr>
          <w:rFonts w:cs="Arial"/>
        </w:rPr>
        <w:tab/>
        <w:t xml:space="preserve">End date: </w:t>
      </w:r>
      <w:bookmarkStart w:id="8" w:name="AuditEndDate"/>
      <w:r w:rsidR="00A4268A">
        <w:rPr>
          <w:rFonts w:cs="Arial"/>
        </w:rPr>
        <w:t>17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Rosedale provides residential care for up to 64 residents who have been assessed as requiring hospital or rest home level care. On the first day of audit there were 56 beds occupied, 22 of which are under an occupational right agreement. The Ministry of Health have approved all occupied apartments. The facility is operated by the Ultimate Care Group Limited.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 and the district health board contract.  The audit process included review of policies and procedures, review of residents’ and staff files, observations and interviews with residents, families, management, staff, a general practitioner and other allied health professionals.</w:t>
      </w:r>
    </w:p>
    <w:p w:rsidRPr="00A4268A">
      <w:pPr>
        <w:spacing w:before="240" w:line="276" w:lineRule="auto"/>
        <w:rPr>
          <w:rFonts w:eastAsia="Calibri"/>
        </w:rPr>
      </w:pPr>
      <w:r w:rsidRPr="00A4268A">
        <w:rPr>
          <w:rFonts w:eastAsia="Calibri"/>
        </w:rPr>
        <w:t xml:space="preserve">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A comprehensive Maori Health plan and related policies guide care. 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 providers, which contributes to ensuring services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Rosedale and include a documented scope, direction, goals, values, and a mission statement. Systems are in place for monitoring the service, including regular reporting by the facility manager and clinical services manager to head office.</w:t>
      </w:r>
    </w:p>
    <w:p w:rsidRPr="00A4268A">
      <w:pPr>
        <w:spacing w:before="240" w:line="276" w:lineRule="auto"/>
        <w:rPr>
          <w:rFonts w:eastAsia="Calibri"/>
        </w:rPr>
      </w:pPr>
      <w:r w:rsidRPr="00A4268A">
        <w:rPr>
          <w:rFonts w:eastAsia="Calibri"/>
        </w:rPr>
        <w:t xml:space="preserve">The facility is managed by a facility manager who has a background in management. The facility manager is supported by a clinical services manager who is a registered nurse.  The clinical services manager is responsible for oversight of the clinical service in the facility. </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quality meeting minutes evidenced corrective action plans are developed, implemented, monitored and signed off as being completed to address the issue/s that require improvement.  Quality, staff and resident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Human resources processes are followed. There are policies and procedures on human resources management.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The documented rationale for determining staffing levels and skill mixes is based on best practice.  Registered nurses are rostered on duty at all times. The clinical services manager and facility manager are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Up-to-date, legible and relevant resident records are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an admission. </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and are supported by care and allied health staff and a designated general practitioner. Shift handovers and communication sheets guide continuity of care.</w:t>
      </w:r>
    </w:p>
    <w:p w:rsidRPr="00A4268A" w:rsidP="00621629">
      <w:pPr>
        <w:spacing w:before="240" w:line="276" w:lineRule="auto"/>
        <w:rPr>
          <w:rFonts w:eastAsia="Calibri"/>
        </w:rPr>
      </w:pPr>
      <w:r w:rsidRPr="00A4268A">
        <w:rPr>
          <w:rFonts w:eastAsia="Calibri"/>
        </w:rPr>
        <w:t>Care plans are individualised based on an integrated range of clinical information. Short term care plans are developed to manage any problems that might arise. All residents` records reviewed demonstrated that needs, goals and outcomes are identified and reviewed on a regular basis. Family interviewed reported being well informed and involved in the care planning and evaluation, and that the care provided is of a high standard. Residents are referred or transferred to other health and disability services as required, with appropriate handovers.</w:t>
      </w:r>
    </w:p>
    <w:p w:rsidRPr="00A4268A" w:rsidP="00621629">
      <w:pPr>
        <w:spacing w:before="240" w:line="276" w:lineRule="auto"/>
        <w:rPr>
          <w:rFonts w:eastAsia="Calibri"/>
        </w:rPr>
      </w:pPr>
      <w:r w:rsidRPr="00A4268A">
        <w:rPr>
          <w:rFonts w:eastAsia="Calibri"/>
        </w:rPr>
        <w:t>The planned activities programmes are supported by three activities coordinators one of whom is a qualified diversional therapist. The activities staff provide residents with a variety of individual and group activities and maintain their links with the community. A facility van and a bus are available for outings in the community.</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manual system. Registered nurses and one enrolled nurse administer medications,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training provided every two years. The kitchen is well organised, clean and meets all food safety standards.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Single accommodation is provided. Adequate numbers of additional bathrooms and toilets are available. There are a number of lounges, dining areas and alcoves. External areas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Cleaning and laundry systems, including appropriate monitoring is undertaken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 and enablers during the audit. Appropriate documentation including a current restraint register was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led by two registered nurses who have completed training and aim to prevent and manage infections. There are terms of reference for the infection control committee which meets quarterly. Specialist infection prevention and control advice is accessed from the district health board and a microbiologist from the laboratory service, as required. The programme is reviewed annually. </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6"/>
        <w:gridCol w:w="1280"/>
        <w:gridCol w:w="90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Rights policy defines a list of residents’ rights that are congruent with the Health and Disability Commissioner`s (HDC) Code of Health and Disability Services Consumers` Rights (the Code). The service policy states the Code is displayed and available to residents and monitored to ensure the rights of the residents are respected. New residents and family/whanau are given a copy of the Code on admission in the information pack sighted. The Code is displayed in all service areas in full view of residents, caregivers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orientation/induction process. The clinical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Maori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which includes a definition of informed consent and references a range of documents associated to the topic. There is a procedure to guide staff. There is an organisation wide informed consent form for care and treatment, permission to collect and store information and to release information as required. In addition, there are other informed consent forms used on a daily basis. Some examples are the transportation consent form, flu vaccination (annually) permission is required, training and participation consent and other forms. Residents are given the opportunity to participate and/or to decline.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has a policy to use to guide when verifying resident competency and how to assess whether a resident is deemed medically capable of informed consent decision making or not. Enduring Power of Attorney records are kept if available in the appropriate section in the resident`s individual record in case this is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resident advocacy policy which describes a process of identifying a new resident`s support person, including family/whanau or representative.  The advocacy policy is available to guide staff. The policy also makes reference to the complaints procedure. All residents receiving care have appropriate access to independent advice and support, including access to a spiritual advocate if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reported they were provided with all relevant information regarding access to advocacy services. Contact details of the Nationwide Health and Disability Advocacy Service is listed in the resident information pack provided. The contact numbers are also documented on the reverse of the Consumers` Rights brochure. Education for staff is conducted as part of the orientation programme and is ongoing and this was sighted in the education and training programme and confirmed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are able to visit anytime and families interviewed confirmed they are encouraged to visit. A visitor`s book is situated at reception and this is completed by visitors for health and safety reasons. Residents are supported and encouraged to access community services with visitors or as part of the planned activities programme. This was observed in the activity programme records reviewed and reported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nine complaints have been received over the past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and the national quality manager reported there have been no investigations by the Health and Disability Commissioner, the Ministry of Health,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all residents and their respective family and/or representative on admission and the registered nurse discusses the Code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that were available for interview reported that the Code was explained to them on admission. Interviews with residents who were able to provide insight into their care, expressed that they are treated with all respect and dignity and were pleased with their care and management.</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was reviewed and an interpreter service is available through the DHB and a nationwide 24 hour service is contactable if required. Staff interviewed have a good understanding of consumer rights.</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of the Code being displayed throughout the facility in all service areas. Staff were observed and demonstrated respect to residents. Staff discussed and have knowledge of the significance of the Code during all aspects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wishes of residents are acknowledged and are reflected in the care plans reviewed. Independence is maximised and maintained along with dignity and respect. The privacy policy requires staff to be respectful of the residents own personal space in this long term care setting at all times.  The privacy officer is the facility manager. The staff and the GP interviewed indicated that residents received services that are responsive to their needs, values and beliefs of culture, religion and ethnicity. Residents from other nationalities are being cared for at this facility. The resident`s ethnicity is recorded in the resident register and on the individual resident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satisfaction with the way the service meets the needs of their relatives and that their relatives are treated in a manner showing regard to the individual resident`s dignity, privacy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days of the audit and confirmed with the review of the residents’ records, all needs and interventions to achieve goals are documented to guide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elder abuse and neglect which describes how staff ensure that no resident is subjected to abuse or neglect. This includes definitions of abuse and neglect and the process of reporting suspected abuse and/or neglect by verbally reporting to the registered nurse on duty and writing an accident/incident report form. The general practitioner stated there are no concerns that have been raised in relation to abuse and neglect. Staff have received education as per the education and training records and at interview clearly understood their responsibilities. Comments received from residents/family and staff reflect a caring, friendly, welcoming and positive atmosphere.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which acknowledges the Treaty of Waitangi and states the service will provide an effective health service for Maori people which includes the three principles of the Treaty. The organisation is committed to identifying the needs of all residents and ensuring staff are adequately trained to identify if any barriers are observed for Maori accessing the service. There are currently no known barriers for Maori accessing this service.</w:t>
            </w:r>
          </w:p>
          <w:p w:rsidR="00EB7645" w:rsidRPr="00BE00C7" w:rsidP="00BE00C7">
            <w:pPr>
              <w:pStyle w:val="OutcomeDescription"/>
              <w:spacing w:before="120" w:after="120"/>
              <w:rPr>
                <w:rFonts w:cs="Arial"/>
                <w:b w:val="0"/>
                <w:lang w:eastAsia="en-NZ"/>
              </w:rPr>
            </w:pPr>
            <w:r w:rsidRPr="00BE00C7">
              <w:rPr>
                <w:rFonts w:cs="Arial"/>
                <w:b w:val="0"/>
                <w:lang w:eastAsia="en-NZ"/>
              </w:rPr>
              <w:t>All Maori residents if admitted to this service have a cultural needs assessment performed to identify any specific beliefs, needs and values. The service encourages the holistic view on Maori health and this is incorporated into the delivery of services.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fully informed about tikanga, kawa, karakia and waiata best practice and these are respected.  Guidelines are developed and implemented to ensure guidance is available for the provision of culturally safe services for Maori residents. Rooms are able to be blessed as required. There are no residents or staff who identify as Maori at the time of this audit. The staff demonstrated a good understanding of providing services that would need to be provided for Maori residents to meet their identified needs, and the significance and importance of whanau centred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recognition of individual beliefs and values policy describes the process of including each person`s own values and beliefs into their care plan and doing this with family/whanau input if this is the person`s choice. Staff are provided regular training in supporting residents to achieve their values and beliefs and in assisting them to practice any cultural activities which they choose. The cultural needs assessment tool is available to ensure all identified needs can be effectively met. The staff recognise and respect the cultural needs of residents in their everyday practices.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have received training in cultural awareness and the training was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guideline for maintaining privacy and dignity and for communicating with residents, relatives and visitors to guide staff. The staff records verified job descriptions and employment agreements that have clear guidelines regarding professional boundaries. House rules are also part of the employment agreement and staff responsibilities were reviewed. There are clear types of discrimination noted and key objectives to be upheld for residents.</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have completed the professional boundaries workshops which is now a requirement for the New Zealand Nursing Council. The family/whanau/residents interviewed reported they are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and the registered nurses promote and encourage best practice with all staff. The registered nurses are taking on additional roles such as with infection prevention and control and restraint minimisation management with enthusiasm and ensuring an evidenced-based learning environment is encouraged. Policies and procedures are managed effectively by the Clinical Advisory Panel for the organisation. Where applicable policies and procedures are linked to evidence-based practice and referenced accordingly.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has discussions with family and/or residents as required. The family and residents reported satisfaction with the service delivery and care provided overall.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included evidence of open disclosure and timely communication with residents and families. Communication was documented in family communication sheets, on accident/incident forms as well as documented in the residents’ progress notes. Evidence was sighted of both families, and where possible, residents, having input into the care planning process. Staff were observed communicating effectively with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for communicating with residents, relatives and visitors which sets out expected behaviours of all staff. The cultural awareness policy documents that residents and families who do not speak English shall be advised of the availability of an interpreter at the first point of contact with the service. Interpreter services are available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is in the resident`s records reviewed, such as on the accident/incident form, the progress records and on the family/whanau communication contact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at Ultimate Care Rosedale.  A quality and risk management plan that includes a business plan was reviewed and included a mission and vision statement, core values, quality objectives, quality indicators and quality projects, and scope of service. An organisational flowchart shows the structure and reporting lines within the organisation. The service philosophy is in an understandable form and was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has established systems in place which defined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manager’s reports to UCG head office includes, but is not limited to, reporting on occupancy, staffing and human resources management, environmental and property reports, financial reporting, interRAI assessments, and general comments.  Daily reporting to UCG head office is via an electronic database which is also used by the CSM to input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has been in the position of FM since June 2016.  The facility manager has a background in management spanning over 30 years and has held management positions in the private and public sectors both in this country and overseas. The FM is supported by an experienced clinical services manager (CSM) / registered nurse (RN) and a clinical coordinator/RN. The CSM has been in this role since April 2016 and is responsible for oversight of clinical care provided to residents. The CSM has experience in the aged care sector and prior to this appointment has held clinical manager positions in other aged care facilities. The senior management team from UCG head office also provide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Ultimate Care Rosedale is certified to provide 64 beds for either hospital level care or rest home level care. On day one of this audit there were 40 hospital residents of which six were under an occupational rights agreement as well as the 16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services manager deputises. When the CSM is absent, the clinical coordinator takes responsibility for clinical overview. The FM and the CSM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guides the quality programme and included goals and objectives. An internal audit programme is in place and audits have been completed as per the schedule. Risks are identified, and there is a hazard register that identified health and safety risks as well as risks associated with human resources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were recorded on various registers and forms. Data is being collected, collated and comprehensively analysed to identify trends. Corrective actions are developed and implemented to improve service delivery following completion of internal audits, surveys, incident/accidents, complaints and any deficits identified at the various meetings. There was good evidence of monitoring to make sure corrective actions have been effective.  Interview of the CSM evidenced their sound knowledge relating to quality and risk management. Graphs showed benchmarking with other facilities within the group and another company that provides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schedules and minutes reviewed evidenced that monthly quality, staff, registered nurse (RN) cleaners and kitchen meetings are held. Resident meetings for rest home/hospital are held every three months. Meeting minutes evidenced reporting of clinical indicators including trends and graphs. </w:t>
            </w:r>
          </w:p>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policies and procedures are fully implemented at Ultimate Care Rosedale.  Policies and procedures were reviewed that are relevant to the scope and complexity of the service, reflected current accepted good practice, and referenced legislative requirements.  The care plan policy includes interRAI requirements. Policies / procedures were available with systems in place for reviewing and updating the policies and procedures regularly, including a policy for document update reviews and document control policy. The clinical advisory panel from UCG is responsible for reviewing policies and procedures.  Staff signing sheets demonstrated staff had been updated on new/reviewed policies, and this was confirmed during interviews of care staff.  Care staff confirmed the policies and procedures provided appropriate guidance for the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identifies hazards and showed the actions put in place to minimise or eliminate risks. Newly found hazards are communicated to staff and residents as appropriate. The health and safety coordinator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 clinical services manager collates these. The original is kept in the residents’ files.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and national quality manager advised there have been no essential notifications (Section 31) made to the Ministry of Health since the previous audit. The national quality manager reported the Ministry has been advised of the change of facility manager and clinical services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for 2016 was reviewed and is the responsibility of the CSM. There was good evidence of in-service education provided for staff and documentation showed this has been a focus at Ultimate Care Rosedale since the appointment of the CSM. Individual records of education are maintained electronically as are competency assessments. Staff files evidenced education records and competency assessments including restraint and medication management for RNs. Five RNs are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The CSM advised a New Zealand Qualification Authority education programme will be re-introduced in the new year for staff to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An electronic system is used that is based on best practice.  The FM and CSM reported they review the rosters weekly and consider dependency levels of residents and the physical environment which is on three levels. The minimum number of staff is provided during the night shift and consists of one RN and four care givers.  During the day, there is a RN on each of the three floors plus a clinical coordinator and clinical services manager. The FM and CSM are on-call after hours.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Entries are clearly documented and are legible with dates, signatures and designations as required. The record folders are integrated. A resident register is maintained. The current resident records are stored securely in the nurses’ offices which are located upstairs in the hospital wing and downstairs. The offices are both locked when not in use with key pad access only. Resident information is not displayed in public view.</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maintains staff files. Checklists in the front of each individual staff and resident’s record were sighted. Information is able to be retrieved as required for records over this past year. A system is now in place for accessing any archived records if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and/or their families are encouraged to visit the facility prior to admission and meet with the facility manager and/or the clinical services manager. They are provided with written information about the services and the admission process. The organisation seeks updated information from the DHB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satisfied with the admission process and the information that had been made available to them on admission. Records reviewed contained completed information details, assessments and a signed and dated service admission agreements in accordance with contractual requirements and legislation. Where possible these are signed off by the resident and/or their representative.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 nurse escort as appropriate. They can facilitate transfer of residents to and from acute care services. There is open communication between all services and this is encouraged by providing appropriate information, including the medication records, previous x-rays and copies of enduring power of attorney (EPOA) documentation. All referrals are documented in the progress records and a copy of the referral letter is placed in the integrated records for the individual resident concerned. Family are kept informed at all times. The family communication record is completed.</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is transferred to the DHB the yellow envelope system is utilised and the front record is completed with all relevant information about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outlines all aspects of medication management. Fifteen registered nurses and one enrolled nurse are medication competent. No care staff administer medication. The rate of medication errors has been actively minimised.</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medication management was observed on the day of the audit. The staff observed demonstrated knowledge and has a clear understanding of their roles and responsibilities in relation to each stage of medication management.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medications are checked by a registered nurse against the prescription. All medications sighted are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legislative requirements. The drugs are checked weekly with two staff one a registered nurse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Temperature monitoring of the medication fridge was reviewed and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monitor PRN (as required) usage and advise the GP as required for an individual resident. Only one resident is currently self-administering medications. There is a process for comprehensive analysis of any medication errors, and compliance with this process if verified.</w:t>
            </w:r>
          </w:p>
          <w:p w:rsidR="00EB7645" w:rsidRPr="00BE00C7" w:rsidP="00BE00C7">
            <w:pPr>
              <w:pStyle w:val="OutcomeDescription"/>
              <w:spacing w:before="120" w:after="120"/>
              <w:rPr>
                <w:rFonts w:cs="Arial"/>
                <w:b w:val="0"/>
                <w:lang w:eastAsia="en-NZ"/>
              </w:rPr>
            </w:pPr>
            <w:r w:rsidRPr="00BE00C7">
              <w:rPr>
                <w:rFonts w:cs="Arial"/>
                <w:b w:val="0"/>
                <w:lang w:eastAsia="en-NZ"/>
              </w:rPr>
              <w:t>No standing orders are in use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employed staff and is in line with recognised nutritional guidelines for older people. A food service manager and two kitchen staff interviewed are experienced in all aspects of food procurement, production, preparation, storage, transportation, delivery and disposal of food. The service providers comply with all current legislation and guidelines available. The service has an approved food safety plan and additional cleaning schedules are followed daily for chores to be completed. Food temperature monitoring, including high risk items, are monitored appropriately and recorded as part of the plan. The chef and the kitchen hands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by the registered nurses assigned to residents on admission. A copy of the assessment is forwarded to the kitchen and a dietary profile is developed. The personal food preferences, and special diets are made known to the kitchen staff and accommodated in the daily meal plan. Special equipment and resources are available to meet the nutritional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satisfaction with the meal service was verified by family/whanau interviews and some responses from satisfaction surveys. Residents were observed eating their meals at the midday mealtime and sufficient time was given to ensure those requiring assistance had this provided. There is sufficient staff on duty in the dining room at meal times to ensure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whereby a prospective resident does not meet the entry criteria for example for a resident requiring level three dementia care the local NASC is advised to ensure the prospective resident and family are supported to find another appropriate care alternative. This service provides rest home and hospital level care but an assessment is required for a resident to change level of care. A referral for reassessment to the NASC is completed in consultation with the individual resident and the family/whanau. The NASC service and the DHB aged care services work collaboratively together for each individual resident requiring placement.</w:t>
            </w:r>
          </w:p>
          <w:p w:rsidR="00EB7645" w:rsidRPr="00BE00C7" w:rsidP="00BE00C7">
            <w:pPr>
              <w:pStyle w:val="OutcomeDescription"/>
              <w:spacing w:before="120" w:after="120"/>
              <w:rPr>
                <w:rFonts w:cs="Arial"/>
                <w:b w:val="0"/>
                <w:lang w:eastAsia="en-NZ"/>
              </w:rPr>
            </w:pPr>
            <w:r w:rsidRPr="00BE00C7">
              <w:rPr>
                <w:rFonts w:cs="Arial"/>
                <w:b w:val="0"/>
                <w:lang w:eastAsia="en-NZ"/>
              </w:rPr>
              <w:t>The resident register is maintained and was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the interRAI assessment. In addition, and as required, other assessment tools are readily available to utilise, such as skin integrity assessment, Norton scale risk assessment, nutritional screening, pain scale, Coombes falls assessment and a continence assessment. Other tools are available if needed as a means to identify any deficits and to inform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 related information. All residents have current interRAI assessments completed by one of the trained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Lifestyle resident plans reviewed evidence integration with the progress records, activities records, medical and allied health professional`s notations clearly written, informative and relevant. Any change in care required is documented and verbally passes on to relevant staff. Families reported participation in the development and ongoing evaluations of the lifestyle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is consistent with their needs, goals and the plan of care. The attention to meeting adverse range of resident`s individualised needs is evident in all areas of service provision. The residents’ GP interviewed verified that medical input is sought in a timely manner, that medical orders are followed and care is managed effectively. Care staff confirmed that care is provided as outlined in the documentation. A range of equipment and resources is available, suited to the level of care provided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coordinators to provide the activities programme for this facility. One staff member is a fully qualified diversional therapist. There are two separate programmes implemented one for the rest home and one for the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and activities programme that is meaningful for the residents. The resident`s activity needs are evaluated six monthly or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reviewed matches the skills, likes, dislikes and interests identified in assessment data. Activities reflect residents` goals/objectives, ordinary patterns of life and includes community activities. Activities are provided in groups, and individual one on one activities as required for the frail residents. Community outings are arranged and the service has one van and a bus. A designated driver is available. An activities coordinator is present on all outings. Resident safety is not compromised.</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satisfaction surveys demonstrated satisfaction with the activities programme. Any information is used to improve the range of activities offered. Residents interviewed confirmed they find the programme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in the progress records. If any changes occur this is reported to one of the registered nurses. The RN documents evaluations. Where progress is different from expected, the service responds by initiating changes to the plan of care. Short term care plans are used and are consistently reviewed and updated until a problem or issue is resolved. Examples of short term care plans being used for wound care, recurrent falls management and/or continence reviews are available in the short term care record folder. Family interviewed provided examples of involvement in the evaluation of progress and any changes as a result.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referral to other health and disability service providers. If the need for other non-urgent services are indicated or requested, the GP sends a referral to seek specialist input. Copies of referrals are sighted in the residents` records reviewed including, mental health services, NASC, DHB dietitians, radiology, medical specialist services and or other health professionals as needed. </w:t>
            </w:r>
          </w:p>
          <w:p w:rsidR="00EB7645" w:rsidRPr="00BE00C7" w:rsidP="00BE00C7">
            <w:pPr>
              <w:pStyle w:val="OutcomeDescription"/>
              <w:spacing w:before="120" w:after="120"/>
              <w:rPr>
                <w:rFonts w:cs="Arial"/>
                <w:b w:val="0"/>
                <w:lang w:eastAsia="en-NZ"/>
              </w:rPr>
            </w:pPr>
            <w:r w:rsidRPr="00BE00C7">
              <w:rPr>
                <w:rFonts w:cs="Arial"/>
                <w:b w:val="0"/>
                <w:lang w:eastAsia="en-NZ"/>
              </w:rPr>
              <w:t>Referral are followed up on a regular basis by the clinical services manager or the GP. The family and resident if possible are kept informed of the referral process, as verified in documentation and family interviews. Arrangements are made by staff should a resident required an ambulance in a medical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are appropriate systems in place to ensure the residents’ physical environment and facilities are fit for their purpose. Ultimate Care Rosedale is on three levels. Passage ways are wide and the entire facility is spacious. Residents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 high standard.  Maintenance is undertaken by a maintenance person who has a good understanding of their responsibilities.  The testing and tagging of electrical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in the hospital area have a mix of ensuites with a toilet and wash hand basin and bedrooms without an ensuite.  There are adequate numbers of additional bathrooms and toilets throughout the facility. The apartments have their own facilities. Residents and families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for residents and staff to move safely around the bedrooms in the hospital area. The apartments are spacious and provide hospital or rest home level of care.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 such as mobility scooters, wheel 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Numerous areas are provided for residents to frequent for activities, dining, relaxing and for privacy.  Residents, families and staff confirmed and observation evidenced these areas are easily accessed. Considerable thought has gone into furnishing the facility.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families reported the laundry is managed well and resident’s clothes are returned in a timely manner. There are small areas on each floor for personal laundry.</w:t>
            </w:r>
          </w:p>
          <w:p w:rsidR="00EB7645" w:rsidRPr="00BE00C7" w:rsidP="00BE00C7">
            <w:pPr>
              <w:pStyle w:val="OutcomeDescription"/>
              <w:spacing w:before="120" w:after="120"/>
              <w:rPr>
                <w:rFonts w:cs="Arial"/>
                <w:b w:val="0"/>
                <w:lang w:eastAsia="en-NZ"/>
              </w:rPr>
            </w:pPr>
            <w:r w:rsidRPr="00BE00C7">
              <w:rPr>
                <w:rFonts w:cs="Arial"/>
                <w:b w:val="0"/>
                <w:lang w:eastAsia="en-NZ"/>
              </w:rPr>
              <w:t>Ultimate Care Rosedale is cleaned to a high standard. There are dedicated cleaners on site who have received appropriate education.  The cleaners stated they take great pride in the way the facility is presented. Residents and families stated the facility is “spotless”. The 2016 satisfaction survey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There is an evacuation policy on emergency and security situations that covers all service groups at the facility.  A fire drill takes place six-monthly.  The orientation programme includes fire and security education.  Staff confirmed their awareness of emergency procedures. All required fire equipment was sighted on the days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 Back up lighting and power is available should there is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They are also made aware of any hazards on site and complete an orientation to the facility. The external doors lock automatically in the evenings and a security company checks the facility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 pumps and electric heaters provide heating.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prevention and control programme which is implemented. The infection prevention and control programme aims to minimise risk of infections to residents, family/whanau, staff and visitors to the facility. Reference and resource material is available to staff. The programme is appropriate for the size and nature of this residential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and clinical services manager are experienced registered nurses. The role includes monitoring all infections, using standardised definitions to identify infections and to carry out surveillance monitoring of organisms, related to antibiotic use. Monthly records are maintained. Infection prevention and control is presented at each staff meeting.</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has a good understanding of the early detection of suspected infections. Care staff interviewed are skilled and ensure that they notify the registered nurses of any concerns when caring for the residents. The shift handovers are also a forum to report any incidences of infection. Short term care plans are documented as required. There is an infection record held in each of the selected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others to infection. Signage is used in the facility as needed. Sanitising hand gel is visible throughout all service areas in the facility and adequate handwashing facilities for staff, visitors and residents are available. The general practitioner is well informed of any reporting obligations for notifiable infections, outbreaks of disease and illness. There have been no infection outbreaks since the last audit. Guidelines and a pandemic plan is in place should an incident arise. Pandemic resources and food is available for any emergencies.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 job description for this position and has attended relevant education for infection prevention and control at the DHB, inclusive of the National Health Emergency Plan update. The service utilises a contracted company which specialises in infection control for additional information and for benchmarking. The infection control nurse and the committee are overseen by the management team. External specialist advice is available through the general practitioner, diagnostic service microbiologist and the DHB infection control nurse specialists and infection control team.</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consists of the infection control coordinator, clinical services manager and team members representing the kitchen, domestic, laundry services and care givers. All resources are available to the committee and the registered nurses can access the laboratory results. The committee meets monthly and the meeting agenda and minutes were reviewed. Other interested staff are able to attend the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and registered nurses interviewed demonstrated good knowledge in the principals of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has been developed and implemented for the service using the organisation wide policies and procedures. The manual is divided into sections to cover the requirements for infection prevention and control inclusive of guidelines available, work practices, surveillance, monthly continuous quality improvement, reviews, references and appendices utilised. The goals of the infection prevention and control programme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and external resources are accessible to staff. There are policies implemented which cover antibiotic use, methicillin resistant staphylococcus aureus (MRSA) and other antimicrobial screening, wound care management, blood and body spills management, cleaning and disinfectant are all covered adequately. Laundry, kitchen and cleaning policies and procedures are developed and implemented specifically for the relevant services provided at this facility. Standard precautions are adhered to by staff as observed during the onsite audit.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included in the orientation packs for all new employees and is included in the ongoing education programme reviewed for 2016/2017. Infection control is provided by the clinical services manager and /or the infection control coordinator at staff meetings. Outbreak management education was provided on the 11 October 2016. Hand hygiene, outbreaks, personal protective equipment usage were discussed. The outbreak trolley was discussed so that staff are aware of the location of the trolley and the contents in the event of a pandemic outbreak. External trainers are contracted as required. Study days are planned and displayed on the staff notice board. Education evidence is available and sighted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including domestic, kitchen, registered nurses and care staff, demonstrated good knowledge of infection prevention and control and the significance of handwashing. Resident education is provided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for this facility as shown in the infection control programme. Staff are required to take responsibility for surveillance activities as shown in the policy reviewed. An infection form is completed as soon as signs and symptoms have been identified and given to the Clinical Services Manager or the infection control coordinator. An infection control plan is developed and implemented which describes actions taken to ensure residents` safety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completes the monthly infection surveillance report. Monitoring occurs for urinary infections, eye infections, upper and lower respiratory tract infections, wound infections, multi-resistant organisms, diarrhoea, vomiting and other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monthly analysis of the infections reported includes comparison with the previous, reasons for the increase or decrease in rates of infections and the actions taken to reduce infections. Analysis includes a summary that can be fed back to staff at the staff meetings. Graphs are a diagrammatic, visual methodology which staff can relate to and these are displayed for staff on the staff notice board and a copy is retained in the infection control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seven residents using restraint and six residents using an enabler. The restraint register is current and updated. The policies and procedures have good definitions of restraints and enablers. A RN is the restraint coordinator and demonstrated good knowledge relating to restraint minimisation. Staff demonstrated sound knowledge about restraint processes including the difference between restraints and enablers. The restraint coordinator and staff described how they have minimised the use of restraint including comprehensive assessments and review and the use of equipment such as sensor mats.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RN is the designated restraint coordinator. Responsibilities of the restraint coordinator and approval committee are clearly outlined. Restraints to be used for residents are approved by the restraint approval committee prior to commencing restraint. The restraint approval committee meets three monthly. Minutes of restraint meetings confirmed this. The GP completes six-monthly review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discussed in the quality, RN and staff meetings and was evidenced in the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and application for the use of restraint forms are completed prior to commencing restraint. These were evidenced in the files of the residents using restraint. The risk factors were identified in the assessment and the purpose of the chosen restraint was documented. The desired outcomes were clearly documented in the long-term care plans.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promotes the safe use of restraint. The restraint coordinator described their expectations relating to this. There is a current and updated restraint register. The care plans ensure the resident’s safety while using restraint.  All interviewed staff demonstrated good knowledge about restraints and strategies to promote resident safety while using restraint. The restraint minimisation policies and procedures are in place and are accessible for all staff to read. Monitoring forms reviewed evidenced residents are viewed at the required times. There were no restraint-related injuries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evaluated at least three monthly and includes the requirements set out in this standard. Each resident using restraint is also reviewed at the approval group meetings and RN and staff meetings. Care staff confirmed that their feedback was obtained by the restraint coordinator when evaluating the restraint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quality review is undertaken by the restraint approval group. Identified issues were discussed in these meetings as well as additional education that was required to support staff members. The internal audit programme also includes audits of restraint. The restraint minimisation and safe practice policies and procedures are reviewed regularly.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Rosedale Village Hospital</w:t>
    </w:r>
    <w:bookmarkEnd w:id="58"/>
    <w:r>
      <w:rPr>
        <w:rFonts w:cs="Arial"/>
        <w:sz w:val="16"/>
        <w:szCs w:val="20"/>
      </w:rPr>
      <w:tab/>
      <w:t xml:space="preserve">Date of Audit: </w:t>
    </w:r>
    <w:bookmarkStart w:id="59" w:name="AuditStartDate1"/>
    <w:r>
      <w:rPr>
        <w:rFonts w:cs="Arial"/>
        <w:sz w:val="16"/>
        <w:szCs w:val="20"/>
      </w:rPr>
      <w:t>16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