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Julia Wallace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Julia Wallace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Julia Wallace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October 2016</w:t>
      </w:r>
      <w:bookmarkEnd w:id="7"/>
      <w:r w:rsidRPr="009418D4">
        <w:rPr>
          <w:rFonts w:cs="Arial"/>
        </w:rPr>
        <w:tab/>
        <w:t xml:space="preserve">End date: </w:t>
      </w:r>
      <w:bookmarkStart w:id="8" w:name="AuditEndDate"/>
      <w:r w:rsidR="00A4268A">
        <w:rPr>
          <w:rFonts w:cs="Arial"/>
        </w:rPr>
        <w:t>26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Julia Wallace is part of the Ryman Group of retirement villages and aged care facilities.  They provide rest home, hospital and dementia level of care for up to 84 residents in the care centre and rest home level of care for up to 20 residents in serviced apartments.  On the day of audit there were 87 residents including six rest home residents in the serviced apartments.  The service is managed by an experienced non-clinical village manager, an assistant manager and an experienced clinical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The previous finding around interventions remains.  There were no new findings at this surveillance audit. </w:t>
      </w:r>
    </w:p>
    <w:p w:rsidRPr="00A4268A">
      <w:pPr>
        <w:spacing w:before="240" w:line="276" w:lineRule="auto"/>
        <w:rPr>
          <w:rFonts w:eastAsia="Calibri"/>
        </w:rPr>
      </w:pPr>
      <w:r w:rsidRPr="00A4268A">
        <w:rPr>
          <w:rFonts w:eastAsia="Calibri"/>
        </w:rPr>
        <w:t xml:space="preserve">A continuous improvement rating has been maintained around activities and a continuous improvement rating awarded for reduction of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Full information is provided at entry to residents and family/representatives.  Communication with residents and families is appropriately managed and documented.  There is an incident reporting policy and reporting forms that guide staff to their responsibility to notify family of any resident accident/incident that occurs.  There are bi-monthly resident meetings and six monthly relative meetings held.  Complaints are actioned and include documented response to complainants.  A complaints register is maintained in VCare.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Julia Wallace retirement village has implemented the ‘TeamRyman’ programme that provides the framework for quality and risk management and the provision of clinical care.  Key components of the quality management system link to a number of meetings including various staff meetings.  Annual resident/relative satisfaction surveys have been completed.  Quality and risk performance has been reported across the various facility meetings and to the organisation's management team.  Julia Wallace provides clinical indicator data for the three services being provided (hospital, rest home and dementia care).  There are human resources policies including recruitment, selection, orientation and staff training and development.  The service has an orientation programme in place that provides new staff with relevant information for safe work practice.  There is an in-service education/training programme covering relevant aspects of care and support and external training was supported.  The organisational staffing policy aligns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and evaluations are completed by the registered nurses.  Care plans demonstrate service integration.  Residents and family interviewed confirmed they were involved in the care plan process and review.  Care plans were updated for changes in health status.  The general practitioner completes admission visits and reviews the residents at least three monthly.</w:t>
      </w:r>
    </w:p>
    <w:p w:rsidRPr="00A4268A" w:rsidP="00621629">
      <w:pPr>
        <w:spacing w:before="240" w:line="276" w:lineRule="auto"/>
        <w:rPr>
          <w:rFonts w:eastAsia="Calibri"/>
        </w:rPr>
      </w:pPr>
      <w:r w:rsidRPr="00A4268A">
        <w:rPr>
          <w:rFonts w:eastAsia="Calibri"/>
        </w:rPr>
        <w:t xml:space="preserve">The activities team provide an activities programme which is varied and interesting.  The Engage programme meets the abilities and recreational needs of the groups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There were five residents voluntarily using six enablers (five bedrails and one chair brief) and four residents with five restraints (two bedrails and three chair briefs).  The clinical manager/registered nurse is the restraint coordinator.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trends identified and acted upon.   Benchmarking occurs.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supporting documents are being implemented.  The village manager has the overall responsibility for ensuring all complaints (verbal or written) are fully documented and thoroughly investigated.  The number of complaints received each month is reported to staff via the various staff meetings.  A complaints register has been maintained in VCare that includes relevant information regarding the complaint.  There have been seven documented complaints made in 2016 year to date and sixteen complaints made in 2015 since the last audit.  Follow-up letters, investigation and outcomes have been documented.  Discussion with residents and relatives confirmed they were provided with information on the complaints process.  Complaints information is provided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family/representatives.  Eight residents (five rest home and three hospital) and two relatives (one hospital and one dementia) interviewed, stated they were welcomed on entry and were given time and explanation about the services and procedures.  There is an incident reporting policy and reporting forms that guide staff to their responsibility to notify family of any resident accident/incident that occurs.  The incident forms have a section to indicate if family have been informed (or not) of an accident/incident.  A sample of incident forms reviewed for October 2016 identified that family were notified following a resident incident.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they were notified of any changes in their family member’s health status.   Interpreter policy and contact details of interpreters are available.  Non-Subsidised residents are advised in writing of their eligibility and the process to become a subsidised resident should they wish to do so.  The information pack is available in large print and this can be read to residents.  A specific introduction to the dementia unit booklet provides information for family, friends and visitors visiting the facility.  Bi-monthly resident meetings and six monthly relative meetings are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Julia Wallace Retirement Village is a Ryman Healthcare facility, situated in Palmerston North.  The service is able to provide care for up to 104 residents. This includes 84 resident rooms in the care centre at hospital, rest home and dementia level care; and 20 serviced apartments that have been certified for rest home level care.  At the time of the audit, there were 29 rest home residents (including six rest home residents in the serviced apartments) and 37 hospital level residents.  There were 21 (of 21 beds) dementia level residents in the special care unit.  All beds in the care centre are dual-purpose.   There are no residents under a medical component, younger persons or any residents on respite.  All residents were under the ARCC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non-clinical and has been in the role for three and a half years.  She is a qualified medical microbiologist and haematologist with previous management experience.  She is supported by an assistant manager who carries out administrative duties.  A clinical manager (registered nurse) oversees the clinical care in the care centre.  The clinical manager commenced the role in July 2016 and has over 10 years’ experience in the aged care industry.  Each of the hospital, rest home and dementia care units are managed by registered nurse coordinators.  The serviced apartments are coordinated by an enrolled nurse.  The management team is supported by the Ryman management team including a regional operations manager.  The village manager attends the annual Ryman managers’ conference.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Julia Wallace service continues to implement the TeamRyman programme, which links key components of the quality management system to village operations.  There are monthly TeamRyman committee meetings.  Outcomes from the TeamRyman committee are then reported across the various meetings including the full facility, registered nurse (RN) and care assistants.  Meeting minutes include discussion about the key components of the quality programme including policy reviews, internal audit, training, complaints, accidents/incidents, infection control and quality improvement plans (QIPs).  Management meetings are held weekly.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A relative survey was last completed in March 2016, serviced apartment residents survey in June 2016 and care residents survey in February 2016.  Results have been collated with annual comparisons for each service.  Areas of concern were identified and quality improvement plans raised (QIPs), completed and signed off.  Results were fed back to participants through resident and relative meetings.  TeamRyman prescribes the annual internal audit schedule that has been implemented at Julia Wallace.  Audit summaries and QIPs are completed where a non-compliance is identified (&lt;90%).  Issues and outcomes are reported to the appropriate committee (eg, health and safety).  Quality improvement plans reviewed are seen to have been closed 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trending of clinical data and development of QIPs when volumes exceed targets (eg, falls).  The service has reduced falls across the service levels and has achieved a continuous improvement rating in this area. Falls prevention strategies are in place that includes the analysis of falls incidents and the identification of interventions on a case-by-case basis to minimise future falls.  The health and safety and infection control committee meet bi-monthly and incidents/accidents, falls and infections is discussed and documented.  The health and safety officer interviewed described the role of the health and safety committee.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Julia Wallace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Quality improvement plans have been created when the number of incidents exceeded the benchmark.  Twelve accident incident forms reviewed (four rest home, five hospital and three dementia) identified timely RN assessment and that post falls assessments have been completed where required.  Quality improvement plans were seen to have been actioned and closed out.  Senior management were aware of the requirement to notify relevant authorities in relation to essential notifications.  There have been no section 31 incident notifications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seen in the eight staff files (one clinical manager, two RNs, one EN, two care assistants, one cook and one activities coordinator) reviewed.  Performance appraisals are current in all files reviewed.  Interviews with care assistants inform that management are supportive and responsive.  All newly appointed staff complete general induction and role specific orientation.  Health practitioners and competencies policy outlines the requirements for validating professional competencies.  A register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aligned with the TeamRyman programme that is being implemented.  Staff ‘catch up’ folders contain education content for staff to read and sign if they were unable to attend training.  There is an aged care education coordinator/RN to support staff working towards the national standards.  Ryman ensures RNs are supported to maintain their professional competency including attending the journal club meetings and external education.  Six of seventeen RNs (including the clinical manager) have completed their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out of eighteen care assistants who are employed in the dementia care unit have completed their dementia specific units.  Six care assistants are progressing to complete their dementia specific units.  Completion of induction programme and required dementia standards are required to be monitored and reported monthly to head office as part of the TeamRyman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Ryman policy which supports the requirements of skill mix, staffing ratios and rostering.  There is at least one RN and first aid trained member of staff on every shift.  Caregiver’s advised that RNs (including coordinators) are supportive and approachable and stated that there are sufficient staff on duty at all times.  Interviews with residents and relatives indicated there are sufficient staff to meet resident needs.  There is access to both casual staff and part-time staff to cover unexpected absence.  The care assistants cover a mix of long and short shifts.  There is a serviced apartment coordinator (EN) from 8.00am-4.30pm, two care assistants in the morning (various times), two care assistants in the afternoon (various times).  The RN in the hospital provides 24-hour clinical oversight for the rest home residents in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RNs and any errors fed back to pharmacy.  Registered nurses, enrolled nurses and senior care assistants who administer medications have been assessed for medication competency on an annual basis (February 2016).  Registered nurses, enrolled nurse and senior care assistants interviewed were able to describe their role in regard to medicine administration.  Education around safe medication administration has been provided.  Medications were stored safely in the four areas (rest home, serviced apartments, hospital and dementia care unit).  Medication fridges were monitored weekly.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self-medicating residents (two rest home and one hospital) who had been assessed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(four hospital, four rest home and four dementia care) medication charts were reviewed on the electronic medication system.  The effectiveness of ‘as required’ medications was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head cook is supported by a cook assistant and kitchen assistants.  Staff have been trained in food safety and chemical safety.  There is an organisational four weekly seasonal menu that had been designed in consultation with the dietitian at organisational level.  Meals are delivered in hot boxes and served from bain-maries in the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Resident likes, dislikes and dietary preferences were known.  Alternative foods were available and offered for dislikes.  Cultural, religious and food allergies are accommodated.  Special diets such gluten free, vegetarian and pureed/soft diets are provided.  Nutritious snacks are available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in fridges, freezers and in the pantry.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meals through resident meetings, survey and direct contact with the cook.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and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however, not all interventions have been implemented.  The previous shortfall around interventions remains.  Short 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plans and evaluations have been recorded (on the VCare system) for nine residents (rest home/hospital) with wounds (skin tears, lesions and two chronic ulcers).  On the day of audit there were two stage two pressure injuries (one hospital acquired and one facility acquired) and one stage one pressure injury (facility acquired).  There were six residents in the dementia care unit with wounds including skin tears, one surgical wound and lesions.  The service has an RN/wound champion who reviews all chronic and non-healing wounds monthly and on request.  Adequate dressing supplies were sighted in the treatment rooms.  The RNs could describe access to the DHB wound nurse or district nurses as required.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seven activities persons (including three qualified diversional therapists – DT) to coordinate and implement the Engage programme across the four areas; rest home (Monday to Friday), hospital and dementia care unit (seven days a week) and serviced apartments (Monday to Friday).  Activity staff attend on-site and organisational in-service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AAA exercises (twice daily in the dementia care unit and daily in other areas), themes events and celebrations, indoor bowls, baking, pet therapy, outings and drives.  A mobility van is hired for hospital residents.  Residents in the dementia care unit are taken for daily walks around the gardens and grounds as weather permits.   Rest home residents in the serviced apartments attend the serviced apartment or rest home programme.  Daily contact is made with residents who choose not to be involved in the activity programme.  An activity assistant is allocated one-on-one time with hospital residents.  Residents in the rest home have begun scrapbooking their own personal diaries. Community involvement includes entertainers, guest speakers, Duke of Edinburgh students, high school students, townhouse volunteers and Japanese college students.   Five church services are held monthly in the on-site chapel.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successful in engaging residents in the dementia care unit to develop their own memory boards and memory boxes.  The service has maintained a continuous improvement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for long term residents who had been at the service six months.  Written evaluations for long term residents describe the resident’s progress against the residents identified goals and any changes are updated on the long-term care plan.  The multidisciplinary review involves the RN, clinical manager, GP, care assistant, activities staff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9 December 2016.  Environmental improvements include the re-painting of all bedroom doors and relocating the cinema from the serviced apartment lounge area to the first floor which has created more space for activities and entertainment.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 (registered nurse) completes a monthly report.  Monthly data are reported to the combined infection prevention and control, and the health and safety meetings.  Staff are informed through the variety of clinical meetings held at the facility.  Meeting minutes include identifying trends, corrective actions and evaluations are available on the staff noticeboard.  The infection prevention and control programme links with the quality programme.  There is close liaison with the GP and laboratory service that advise and provide feedback and information to the service.  Systems in place are appropriate to the size and complexity of the facility.  Organisational benchmarking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There were five residents voluntarily using six enablers (five bedrails and one chair brief) and four residents with five restraints (two bedrails and three chair briefs).  Restraint and challenging behaviour education is included in the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3"/>
        <w:gridCol w:w="1280"/>
        <w:gridCol w:w="5140"/>
        <w:gridCol w:w="4264"/>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post-unwitnessed falls or identified head injuries, food and fluid charts, restraint monitoring, pain monitoring, blood sugar levels and behaviour charts.  Progress notes and long-term care plans document changes in health, however monitoring forms have been utilised to record changes for two rest home and two hospital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had not been implemented as follows; 1) Weekly weight for one dementia care resident with weight loss had not been completed as documented in the care plan.  The same resident did not have episodes of challenging behaviour documented on the behaviour chart.  2) One dementia care resident had no pain assessment for a new pain as identified in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and 2) Ensure interventions are implemented for changes in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379"/>
        <w:gridCol w:w="43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systems are in place for the collection, analysis and evaluations of quality data.  Results are communicated to staff via a variety of forums.  A range of data is collected across the service using VCare, an electronic data system.  Data is collated and analysed with comprehensive evaluation reports completed monthly and comparative reports six monthly.  The analysis of data gathered is enhanced using control charts, which identifies normal variation, patterns and trends.  Data is benchmarked against other similar service types within Ryman facilities.  Communication of results occurs across a range of meetings across the facility (eg, management meetings, full facility meetings, clinical meetings).  Templates for all meetings document action required, timeframe and the status of the actions.  The quality programme for 2016 includes objectives for improving outcomes for residents.  Clinical indicator data has individual reference ranges for acceptable limits and levels of incidents and infections.  Data is collected around (but not limited to) falls, skin tears, pressure injuries and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were identified as an area that required improvement from data collected from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was developed as part of their 2016 quality goals which included identifying residents at risk of falling, providing falls prevention training for staff, reviewing call bell response times, reviewing the roster to ensure adequate supervision of residents, encouraging resident participation in the activities programme and reviewing of clinical indicator data.  Further initiatives implemented included routine checks of all residents specific to each resident’s needs (intentional rounding), the use of sensor mats, night lights, proactive and early GP involvement and increased staff awareness of residents who are at risk of falling.  The plan has been reviewed monthly and discussed at staff meetings.  Education and training for staff has been regularly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identified that falls have reduced during the period of June to October 2016.  In the rest home, the rate of falls reduced from eight to three; in the hospital unit, the falls rate reduced from 18 to 12; and in the dementia unit, the rate of falls reduced from 36 to 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that resident satisfaction and enjoyment could be increased for residents in the dementia care unit. The activity coordinator and staff identified residents often could not identify their room and could not get all residents involved in group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informal visit to the unit by a dementia care specialist recommended a bright and colourful unit with visual cues for residents with dementia. The activity coordinator has initiated meaningful activities that involved the relatives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to the unit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The memory boxes on resident doors were re-decorated using the resident choice of colour, familiar photos and items that were easily recognisable by the resident. The result being, those residents can more easily find their rooms and become less confused.  </w:t>
            </w:r>
          </w:p>
          <w:p w:rsidR="00EB7645" w:rsidRPr="00BE00C7" w:rsidP="00BE00C7">
            <w:pPr>
              <w:pStyle w:val="OutcomeDescription"/>
              <w:spacing w:before="120" w:after="120"/>
              <w:rPr>
                <w:rFonts w:cs="Arial"/>
                <w:b w:val="0"/>
                <w:lang w:eastAsia="en-NZ"/>
              </w:rPr>
            </w:pPr>
            <w:r w:rsidRPr="00BE00C7">
              <w:rPr>
                <w:rFonts w:cs="Arial"/>
                <w:b w:val="0"/>
                <w:lang w:eastAsia="en-NZ"/>
              </w:rPr>
              <w:t>2) Each resident has a memory board with photos and collage that are special to the resident and their family.  Residents assist in painting the boards in their colour choice and men apply the hooks and string to hang the boards that were displayed in 10 of the resident’s rooms on the day of audit.  Individual one-on-one time is spent with residents developing their boards, which have become a conversation and reminiscing activity.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The activity coordinator changed the focus from large group activities to small cluster groups of activities ensuring “something for everyone” was being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 satisfaction survey results related to activities increased from a score of 3.17 in September 2015 to 4.03 in March 2016.  This was an increase in 12 points among Ryman village rankings. The number of falls have reduced as a result of residents being able to identify their rooms and more residents engaging in smaller group activities (link CI 1.2.3.6).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Julia Wallace Retirement Village Limited</w:t>
    </w:r>
    <w:bookmarkEnd w:id="58"/>
    <w:r>
      <w:rPr>
        <w:rFonts w:cs="Arial"/>
        <w:sz w:val="16"/>
        <w:szCs w:val="20"/>
      </w:rPr>
      <w:tab/>
      <w:t xml:space="preserve">Date of Audit: </w:t>
    </w:r>
    <w:bookmarkStart w:id="59" w:name="AuditStartDate1"/>
    <w:r>
      <w:rPr>
        <w:rFonts w:cs="Arial"/>
        <w:sz w:val="16"/>
        <w:szCs w:val="20"/>
      </w:rPr>
      <w:t>25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