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Parkwood Trust Incorporated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Parkwood Trust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Parkwood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November 2016</w:t>
      </w:r>
      <w:bookmarkEnd w:id="7"/>
      <w:r w:rsidRPr="009418D4">
        <w:rPr>
          <w:rFonts w:cs="Arial"/>
        </w:rPr>
        <w:tab/>
        <w:t xml:space="preserve">End date: </w:t>
      </w:r>
      <w:bookmarkStart w:id="8" w:name="AuditEndDate"/>
      <w:r w:rsidR="00A4268A">
        <w:rPr>
          <w:rFonts w:cs="Arial"/>
        </w:rPr>
        <w:t>4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Parkwood Retirement Village provides rest home and hospital level care for up to 81 residents at the Lodge located in the centre of the village. The service is operated by Parkwood Trust Incorporated, a charitable trust set up in the early 1970’s. It is managed by a general manager supported by a nurse manager.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There are no areas identified as requiring improvement and no areas requiring follow up from the previous audit. The continuous improvement awarded at last audit relating to the activities programme remains in place.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quality manager is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Parkwood Trust is the governing body and is responsible for the service provided at this facility. Business and quality and risk management plans are documented and include the scope, direction, goals and values of the organisation. Systems are in place for monitoring the services provided, including regular monthly reporting by the general manager to the governing body.</w:t>
      </w:r>
    </w:p>
    <w:p w:rsidRPr="00A4268A">
      <w:pPr>
        <w:spacing w:before="240" w:line="276" w:lineRule="auto"/>
        <w:rPr>
          <w:rFonts w:eastAsia="Calibri"/>
        </w:rPr>
      </w:pPr>
      <w:r w:rsidRPr="00A4268A">
        <w:rPr>
          <w:rFonts w:eastAsia="Calibri"/>
        </w:rPr>
        <w:t xml:space="preserve">A quality and risk management system is in place which includes an annual calendar of internal audit activity, monitoring of complaints and incidents, health and safety, infection control, pressure injuries, restraint minimisation, and resident and family satisfaction.  Collection, collation and analysis of quality improvement data is occurring and is reported to the management and staff meetings, with discussion of trends and follow up where necessary. Meeting minutes and graphs of clinical indicators are displayed. Adverse events are documented on accident/incident forms and seen as an opportunity for improvement. Corrective action plans are being developed, implemented, monitored and signed off. Formal and informal feedback from residents and families is used to improve services.  Actual and potential risks are identified and mitigated and the hazard register is up to date.  </w:t>
      </w:r>
    </w:p>
    <w:p w:rsidRPr="00A4268A">
      <w:pPr>
        <w:spacing w:before="240" w:line="276" w:lineRule="auto"/>
        <w:rPr>
          <w:rFonts w:eastAsia="Calibri"/>
        </w:rPr>
      </w:pPr>
      <w:r w:rsidRPr="00A4268A">
        <w:rPr>
          <w:rFonts w:eastAsia="Calibri"/>
        </w:rPr>
        <w:t xml:space="preserve">A suite of policies and procedures cover the necessary areas, are current and reviewed regularly. </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 comprehensive orientation and staff training programme ensures staff are competent to undertake their role.  A systematic approach to identify, plan facilitate and record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contractual requirements and the changing needs of residents. There is a roster of senior staff on call out of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(eg, podiatrist, physiotherapist, pharmacist) and a designated general practitioner.   On call arrangements for support from senior staff are in place.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publicly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Any enabler use is voluntary for the safety of residents in response to individual requests. At the time of the audit there were no residents who were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and trended,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9"/>
        <w:gridCol w:w="1280"/>
        <w:gridCol w:w="103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on admission and there is complaints information and forms available in a number of areas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nine complaints have been received this year and that actions taken, through to an agreed resolution, are documented and completed within the timeframes specified in the Code.  Action plans reviewed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manager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Interpreter services are accessed via the national interpreter service when required. The quality manager reported this service has not been required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and goals of the organisation. The documents describe annual and longer term objectives and the associated operational plans. The general manager provides a monthly report against the objectives to the board of trustees. A sample of reports reviewed shows adequate information to monitor performance is reported including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the general manager who holds relevant business qualifications and has been in the role for 22 years. He is suitably skilled and experienced for the role and has responsibilities and accountabilities defined in a job description and individual employment agreement.  He is supported by the nurse manager of the facility who confirms knowledge of the sector, regulatory and reporting requirements and maintains currency through the annual nursing registration requirements. In addition, the senior management team also includes the clinical manager and the quality manager and they meet bi-monthly.</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for rest home and hospital level services. 80 residents receive services under the contract, 37 hospital and 43 rest home,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and risk system that reflects the principles of continuous improvement and is understood by staff.  This includes management of incidents and complaints, audit activities, a regular resident satisfaction survey, monitoring of outcomes, clinical incidents including infections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reviewed confirmed adequate reporting systems and discussion occurs on quality matters. Regular review and analysis of quality indicators occurs and related information reported and discussed at the management team meetings and staff meetings. Minutes reviewed include discussion on pressure injuries, restraints, falls, complaints, incidents/events, infections, audit results and activities. Staff reported their involvement in quality and risk activities through involvement in internal audit activities and the regular staff meetings. Relevant corrective actions are developed and implemented as necessary and demonstrated a continuous process of quality improvement is occurring. Resident and family surveys are completed annually, with new residents also being surveyed six weeks after admission. The last annual survey showed some concerns with a lack of things to do in the weekend so a regular programme of activities is now held on Saturday mornings.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and are current. There are appropriate references to the interRAI Long Term Care Facility (LTCF) assessment tool and process. The document control system ensures a systematic and regular review process, referencing of relevant sources, approval, distribution and removal of obsolete documents. Staff are updated on new policies or changes to policies through discussions held at relevant clinical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confirmed the processes for the identification, monitoring and reporting of risks and development of mitigation strategies. The risk register shows consistent review and updating of risks, risk plans and the addition of new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reviewed show these are fully completed, incidents are investigated, action plans developed and actions are followed-up in a timely manner.  Adverse event data is collated, analysed and reported to the clinical and management meetings and meeting minutes reviewed show discussion in relation to trends, action plans and improvements made.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described essential notification reporting requirements. The quality manager advised there have been only one notification of a significant event made to the Ministry of Health since the previous audit. This was precautionary and subsequently did not meet the relevant criteria.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line with good employment practice and relevant legislation, guide human resources management processes. Position descriptions reviewed were current and defined the key tasks and accountabilities for the various roles. The recruitment process includes referee checks, police vetting and validation of qualifications and practising certificates (APCs), where required. A sample of staff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are a sufficient number (seven) trained and competent registered nurses who are maintaining their annual competency requirements to be able to undertake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and included support from a ‘buddy’ through their initial orientation period. Staff records reviewed show documentation of completed orientation and a self-appraisal and performance review after a six 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Mandatory training requirements are defined and scheduled to occur over the course of the year. Care staff have either completed or commenced a New Zealand Qualification Authority education programme to meet the requirements of the provider’s agreement with the DHB. A staff member is the internal assessor for the programme. Education records reviewed demonstrated completion of the required training.  Staff reported that the annual performance appraisal process provides an opportunity to discuss individual training needs, supervision requirements and review competencies.  Appraisals were current for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to provide safe service delivery. The facility adjusts staffing levels to meet the changing needs of residents, supported by the use of a workload measurement tool. The minimum number of staff is provided during the night shift and consists of one registered nurse and three enrolled nurses or caregivers.  An afterhours on call roster is in place, with staff reporting that good access to advice is available when needed.  Care staff reported adequate staff were available and that they could complete the work allocated to them.  This was further supported by residents and family interviewed. Observations and review of a six week roster cycle sample during this audit confirmed adequate staff cover has been provided.  The organisation uses its casual pool for short notice roster gaps. At least one staff member on duty has a current first aid certificate and there is 24 hour/seven days a week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and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days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accident/incident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are current and comply with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and is in line with recognised nutritional guidelines for older people.  The menu follows summer and winter patterns and has been reviewed by a qualified dietitian in June 2015.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Two initiatives have recently been implemented, one to evaluate the effectiveness of the use of coloured plates on nutritional status for some residents, and a review of the types of meals served at teatime in response to residents increased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Evidence of the ongoing commitment to resident satisfaction with meals is verified by resident and family interviews, satisfaction surveys and resident meeting minutes. Residents were seen to be given sufficient time to eat their meal in an unhurried fashion and those requiring assistance had this provided. There is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provided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Parkwood Lodge has five personnel employed to provide residents with planned activities.  One of these is a trained diversional therapist, diversional therapist educator and an assessor for the diversional therapy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sighted (one hospital and one rest home) is planned in conjunction with residents’ skills, likes, dislikes interests, discussion and request. Residents meetings are held monthly. The activities programme is discussed at the residents’ meetings and indicated residents’ input is sought and responded to. Interviews verify numerous requests for outings and activities are made and once the decision has been made on what activities or events are to occur the diversional therapist begins the planning process. Sighted planning sheets are reviewed, in which there is comprehensive assessment data recorded to identify factors addressed to make the event successful.  Risks are identified as are the strategies to manage the risks.  In the event of the diversional therapist being absent, a colleague can identify what is needed for the event to go ahead without her. The ongoing commitment to continually improve the residents’ activity experiences remains in place at Parkwood Lodge.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the activity, there is a full evaluation by all parties involved. The residents decide whether they were satisfied or not.  Results of findings are integrated into the planning of the next activity. Evidence of event planning and evaluations are sighted.  Resident and family satisfaction surveys demonstrated satisfaction with the programme and that information is used to improve the range of activities offered. Residents interviewed confirmed they find the programme very enjoyable.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activity needs are evaluated as residents needs change and as part of the formal six monthly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are sighted of short term care plans being consistently reviewed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(expires May 20 2017)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The infection control coordinator reviews all reported infections.  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through all levels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discussed at handover, to ensure early intervention occurs. Surveillance results are then shared with staff at the registered nurses and general staff meetings, as confirmed in meeting minutes sighted and interviews with staff. The organisation continues to work with the microbiologist at the DHB to ensure appropriate prescribing of antibiotics, with the continual commitment to ensure they are used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seven residents were using restraints and there were no residents using enablers. A similar process is followed for the use of enablers when required as is used for restraints.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and files reviewed of those residents who have approved restraints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087"/>
        <w:gridCol w:w="36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initiative remains in place at Parkwood Lodge which is aimed at continually improving the activities programme to best match resident needs and desired outcomes.  Sighted planning sheets are reviewed, in which there is comprehensive assessment data recorded to identify factors addressed to make the event successful.  Risks are identified as are the strategies to manage the risks.  Following the activity, there is a full evaluation by all parties involved.  The residents decide whether they were satisfied or not.  Results of findings are integrated into the planning of the next activity.  Evidence of event planning and evaluations are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Parkwood Lodge provides an expansive range of activities both in and out of the facility that are resident driven.  Pre-planning of activities occurs to identify and manage any identified risks.  A review occurs post activity with analysis and evaluation of consumer satisfaction, and reporting of findings documented for referral in the future.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Parkwood Trust Incorporated</w:t>
    </w:r>
    <w:bookmarkEnd w:id="58"/>
    <w:r>
      <w:rPr>
        <w:rFonts w:cs="Arial"/>
        <w:sz w:val="16"/>
        <w:szCs w:val="20"/>
      </w:rPr>
      <w:tab/>
      <w:t xml:space="preserve">Date of Audit: </w:t>
    </w:r>
    <w:bookmarkStart w:id="59" w:name="AuditStartDate1"/>
    <w:r>
      <w:rPr>
        <w:rFonts w:cs="Arial"/>
        <w:sz w:val="16"/>
        <w:szCs w:val="20"/>
      </w:rPr>
      <w:t>3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