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St Margaret's Hospital and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Margaret's Hospital and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September 2016</w:t>
      </w:r>
      <w:bookmarkEnd w:id="7"/>
      <w:r w:rsidRPr="009418D4">
        <w:rPr>
          <w:rFonts w:cs="Arial"/>
        </w:rPr>
        <w:tab/>
        <w:t xml:space="preserve">End date: </w:t>
      </w:r>
      <w:bookmarkStart w:id="8" w:name="AuditEndDate"/>
      <w:r w:rsidR="00A4268A">
        <w:rPr>
          <w:rFonts w:cs="Arial"/>
        </w:rPr>
        <w:t>30 September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St Margaret’s Hospital is owned and operated by the CHT Healthcare Trust and cares for up to 88 residents requiring rest home, dementia, hospital and/or residential disability (physical) level care.  On the day of the audit there were 85 residents.  The service is being overseen by a unit manager who is well qualified and experienced for the role and is supported by a clinical coordinator and the area manager.  Residents, relatives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br/>
        <w:t>This audit has identified areas for improvement around care planning, wound documentation and interventions and restraint evaluations.  The service has exceeded the required standard around the dementia activities and the service provided to residents at risk of weight loss.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about services provided is readily available to residents and families.  The Health and Disability Commissioner (HDC) Code of Health and Disability Services Consumers' Rights (the Code) is presented to residents and their families during entry to the service.  Policies are implemented to support rights such as privacy, dignity, abuse and neglect, culture, values and beliefs, complaints, advocacy and informed consent.  Care planning accommodates individual choices of residents and/or their family/whānau.  Residents are encouraged to maintain links with the community.  Residents and family reported that communication with management and staff is open and transparent.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A unit manager is responsible for the day-to-day operations of the facility.  She is supported by a clinical coordinator/registered nurse.  Quality and risk management processes are implemented.  Quality goals are documented for the service.  A risk management programme is in place, which includes a risk management plan, incident and accident reporting, and health and safety processes.  The health and safety programme meets current legislative requirements.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The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registered nurses or clinical coordinator.  There is comprehensive service information available.  Initial assessments are completed by a registered nurse.  Care plans and evaluations are completed by the registered nurses within the required timeframe.  Care plans are written in a way that enables all staff to clearly follow their instructions.  Residents and family interviewed confirmed they were involved in the care planning and review process.  The documented activities programme is varied and interesting.  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are able to be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all rooms have their own ensuite.  There is sufficient space to allow the movement of residents around the facility using mobility aids.  The rest home/hospital areas are divided into ‘suites’ of eight to twelve residents, each with its own open plan lounge/dining area.  The internal areas are able to be ventilated and heated.  The outdoor areas are safe and easily accessible and the dementia unit garden is secure.  Cleaning contractors and maintenance staff are providing appropriate services.  </w:t>
      </w:r>
    </w:p>
    <w:p w:rsidRPr="00A4268A">
      <w:pPr>
        <w:spacing w:before="240" w:line="276" w:lineRule="auto"/>
        <w:rPr>
          <w:rFonts w:eastAsia="Calibri"/>
        </w:rPr>
      </w:pPr>
      <w:r w:rsidRPr="00A4268A">
        <w:rPr>
          <w:rFonts w:eastAsia="Calibri"/>
        </w:rPr>
        <w:t xml:space="preserve">Appropriate training, information and equipment for responding to emergencies are provided.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The restraint coordinator is a registered nurse who is responsible for ensuring restraint management processes are followed.  On the day of audit there were eight residents with restraint and one resident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2"/>
        <w:gridCol w:w="1280"/>
        <w:gridCol w:w="1020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of Health and Disability Consumers’ Rights (the Code) brochures are accessible to residents and their families.  The policy relating to the Code is implemented.  Three managers (one area manager, one unit manager and one clinical coordinator), sixteen staff (eight healthcare assistants – six from the rest home/hospital and two from the dementia unit, three registered nurses (RN), two activities coordinators, one kitchen manager, one cleaner and one property manager) and one contracted health professional (physiotherapist) could describe how the Code is incorporated into their working environment.  Staff receive training about the Code during their induction to the service.  This training continues two-yearly through the mandatory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consents are signed by the resident or their EPOA.  Advanced directives are signed for separately.  There is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Ten of ten resident files sampled (three from the dementia unit, two from the rest home and five from the hospital) had a signed admission agreement and consents.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Health and Disability advocacy brochures are included in the information provided to new residents and their family during their entry to the service.  Residents and family interviewed were aware of the role of advocacy services and their right to access support.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The service encourages their residents to maintain their relationships with friends and community groups.  Assistance is provided by the care staff to ensure that the residents participate in as much as they can safely and desire to do, evidenced through interviews and observations.  Interviews with two YPD residents confirmed that younger persons remain active in their community and participate in social activities external to the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entry to the service.  Access to complaints forms are located at reception.  A record of all complaints received is maintained by the unit manager in hard copy and in an electronic database.  Documentation, including follow-up letters and resolution sighted demonstrated that complaints are well-managed.  Discussions with residents and families/whanau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that is provided to new residents and their families.  The staff discuss aspects of the Code with residents and their family on admission.  Discussions relating to the Code are also held during the resident/family meetings.  All ten residents (two rest home level and eight hospital level which included two younger persons with a disability (YPD)) and eleven family (seven hospital level and four dementia level) interviewed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personal belongings are used to decorate their rooms.  Privacy signage is on communal toilet doors.  All residents’ rooms are single use with full ensuites.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healthcare assistants interviewed reported that they knock on bedroom doors prior to entering rooms, ensure doors are shut when cares are being given and do not hold personal discussions in public areas.  They reported that they promote the residents' independence by encouraging them to be as active as possible.  All of the residents and families interviewed confirmed that the residents’ privacy is respected.  </w:t>
            </w:r>
          </w:p>
          <w:p w:rsidR="00EB7645" w:rsidRPr="00BE00C7" w:rsidP="00BE00C7">
            <w:pPr>
              <w:pStyle w:val="OutcomeDescription"/>
              <w:spacing w:before="120" w:after="120"/>
              <w:rPr>
                <w:rFonts w:cs="Arial"/>
                <w:b w:val="0"/>
                <w:lang w:eastAsia="en-NZ"/>
              </w:rPr>
            </w:pPr>
            <w:r w:rsidRPr="00BE00C7">
              <w:rPr>
                <w:rFonts w:cs="Arial"/>
                <w:b w:val="0"/>
                <w:lang w:eastAsia="en-NZ"/>
              </w:rPr>
              <w:t>Guidelines on abuse and neglect are documented in policy.  Staff attend mandatory (two-yearly) education and training on abuse and neglect,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Staff education on cultural awareness begins during their induction to the service and continues as a mandatory (two-yearly) in-service.  The healthcare assistants interviewed provided examples of how they ensure Māori values and beliefs are upheld by the service.  There were no residents living at the facility who identified as Māori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The staff demonstrated through interviews and observations that they are committed to ensuring each resident remains a person, even in a state of decline.  Beliefs and values are discussed and incorporated into the residents’ care plans, evidenced in all ten care plans reviewed (two rest home, three dementia and five hospital).  Residents and family interviewed confirmed they were involved in developing the resident’s plan of care, which included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also described in job descriptions.  Interviews with the care staff confirmed their understanding of professional boundaries including the boundaries of the healthcare assistants’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practice was evident.  A registered nurse is available 24 hours a day, seven days a week.  A general practitioner (GP) visits the facility two times a week.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interviewed reported that they are either satisfied or very satisfied with the services received.  A resident/family satisfaction survey is completed annually and confirmed high levels of satisfaction with the services received.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which includes (but is not limited to) specialist visits.  Physiotherapy services are available eight hours per week.  A van is available for regular outings.  Areas of continuous improvements were identified around the activities programme in the dementia unit and the food and nutrition programme.</w:t>
            </w:r>
          </w:p>
          <w:p w:rsidR="00EB7645" w:rsidRPr="00BE00C7" w:rsidP="00BE00C7">
            <w:pPr>
              <w:pStyle w:val="OutcomeDescription"/>
              <w:spacing w:before="120" w:after="120"/>
              <w:rPr>
                <w:rFonts w:cs="Arial"/>
                <w:b w:val="0"/>
                <w:lang w:eastAsia="en-NZ"/>
              </w:rPr>
            </w:pPr>
            <w:r w:rsidRPr="00BE00C7">
              <w:rPr>
                <w:rFonts w:cs="Arial"/>
                <w:b w:val="0"/>
                <w:lang w:eastAsia="en-NZ"/>
              </w:rPr>
              <w:t>The GP interviewed is satisfied with the care that is being provided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Examples of good practice evidenced at CHT St Margaret’s were: (i) Utilisation of adverse event reports to inform practice for continuous improvement. (ii) The activities programme has been enhanced for all residents for a better quality of life. (iii) Strong relationships with hospice, the local community and word of mouth resulting in high occupancy. (iv) The low staff turnover provides continuity of care for residents. (v) Provision of Skills for Work support for staff to assist with completion of ACE training.</w:t>
            </w:r>
          </w:p>
          <w:p w:rsidR="00EB7645" w:rsidRPr="00BE00C7" w:rsidP="00BE00C7">
            <w:pPr>
              <w:pStyle w:val="OutcomeDescription"/>
              <w:spacing w:before="120" w:after="120"/>
              <w:rPr>
                <w:rFonts w:cs="Arial"/>
                <w:b w:val="0"/>
                <w:lang w:eastAsia="en-NZ"/>
              </w:rPr>
            </w:pPr>
            <w:r w:rsidRPr="00BE00C7">
              <w:rPr>
                <w:rFonts w:cs="Arial"/>
                <w:b w:val="0"/>
                <w:lang w:eastAsia="en-NZ"/>
              </w:rPr>
              <w:t>And (vi) Strong connections with the community with regular visits from a kindergarten, library groups and church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policy also describes that open disclosure is part of everyday practice.  The care staff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DHB.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 Margaret’s Hospital is owned and operated by the CHT Healthcare Trust.  The service provides rest home, dementia, hospital and residential disability (physical) level care for up to 88 residents.  Sixty-eight beds are dual-purpose, for rest home and hospital level care, and 20 beds are dedicated dementia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Eighty-five residents were living at the facility during this audit.  This included seven rest home residents, fifty-eight hospital level residents and twenty residents in the secure dementia unit.  Four of the residents (three hospital level and one rest home level) were on the YPD contract, and one resident (hospital level) was funded by ACC.  </w:t>
            </w:r>
          </w:p>
          <w:p w:rsidR="00EB7645" w:rsidRPr="00BE00C7" w:rsidP="00BE00C7">
            <w:pPr>
              <w:pStyle w:val="OutcomeDescription"/>
              <w:spacing w:before="120" w:after="120"/>
              <w:rPr>
                <w:rFonts w:cs="Arial"/>
                <w:b w:val="0"/>
                <w:lang w:eastAsia="en-NZ"/>
              </w:rPr>
            </w:pPr>
            <w:r w:rsidRPr="00BE00C7">
              <w:rPr>
                <w:rFonts w:cs="Arial"/>
                <w:b w:val="0"/>
                <w:lang w:eastAsia="en-NZ"/>
              </w:rPr>
              <w:t>The unit manager is a registered nurse (RN) who has been in this role for two years.  She has 21 years of management experience in both the disability and private sectors.  She is supported by a clinical coordinator/RN that has been in her role for two months and has been working at the facility for the past two years.  The unit manager reports to the CHT area manager who reports to the CEO.</w:t>
            </w:r>
          </w:p>
          <w:p w:rsidR="00EB7645" w:rsidRPr="00BE00C7" w:rsidP="00BE00C7">
            <w:pPr>
              <w:pStyle w:val="OutcomeDescription"/>
              <w:spacing w:before="120" w:after="120"/>
              <w:rPr>
                <w:rFonts w:cs="Arial"/>
                <w:b w:val="0"/>
                <w:lang w:eastAsia="en-NZ"/>
              </w:rPr>
            </w:pPr>
            <w:r w:rsidRPr="00BE00C7">
              <w:rPr>
                <w:rFonts w:cs="Arial"/>
                <w:b w:val="0"/>
                <w:lang w:eastAsia="en-NZ"/>
              </w:rPr>
              <w:t>CHT has an overall business/strategic plan, philosophy of care and mission statement.  The annual facility-specific business plan links to the organisation’s strategic plan and is reviewed monthly with the CEO.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 has completed a minimum of eight hours of professional development relating to the management of an aged care service over the past twelve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unit manager, the clinical coordinator oversees the management of the facility with support from the area manager and staff 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managers and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Data collected (eg, falls, medication errors, wounds, skin tears, complaints, infections) are collated and analysed with results communicated to staff in the quality/health and safety (staff) meetings and the RN meetings, evidenced in the meeting minutes.  Results are also posted in the staff room for staff to view.</w:t>
            </w:r>
          </w:p>
          <w:p w:rsidR="00EB7645" w:rsidRPr="00BE00C7" w:rsidP="00BE00C7">
            <w:pPr>
              <w:pStyle w:val="OutcomeDescription"/>
              <w:spacing w:before="120" w:after="120"/>
              <w:rPr>
                <w:rFonts w:cs="Arial"/>
                <w:b w:val="0"/>
                <w:lang w:eastAsia="en-NZ"/>
              </w:rPr>
            </w:pPr>
            <w:r w:rsidRPr="00BE00C7">
              <w:rPr>
                <w:rFonts w:cs="Arial"/>
                <w:b w:val="0"/>
                <w:lang w:eastAsia="en-NZ"/>
              </w:rPr>
              <w:t>Internal audits are completed six-monthly by the area manager.  Areas of non-compliance include the initiation of a corrective action plan with sign-off by the area manager when implemented.</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CHT facilities have been awarded tertiary level workplace safety management practice (WSMP) certificate (expiry July 2017).  An interview with four health and safety representatives (two healthcare assistants, one receptionist, one unit manager) and review of health and safety documentation confirmed that legislative requirements are being met.</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a comprehensive investigation of residents’ falls on a case-by-case basis to ensure that strategies to reduce falls have been implemented.  The facility has purchased beds that can be lowered to low levels, and sensor mats.  Hip protectors are used to prevent injuries from falls.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Adverse events are linked to the quality and risk management programme.  There was evidence to support actions are undertaken to minimise the number of incidents.  Clinical follow-up of residents, conducted by a registered nurse, was evidenced in all fifteen accident/incident forms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unit manager and clinical coordinator confirmed their awareness of the requirement to notify relevant authorities in relation to essential notifications.  This has not been required since their last (surveillance)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evidenced in all nine staff files reviewed (six healthcare assistants, one registered nurse, one clinical coordinator, one activities coordinator).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implemented a general orientation programme that provides new staff with relevant information for safe work practice.  Evidence of completed induction checklists were sighted in all nine staff files.  Annual staff appraisals sighted were up-to-date.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being implemented.  Regular in-services are provided by a range of in-house and external speakers including but not limited to nurse specialists, Aged Concern and the Health and Disability Advocacy Service.  All eight HCAs who have been working regularly in the dementia unit for longer than one year have completed their Aged Care Education (ACE) dementia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CHT policy includes staff rationale and skill mix.  Sufficient staff are rostered to manage the care requirements of the residents.  At least one registered nurse is on site at any one time.  Three registered nurses are on morning shift, two on a full afternoon shift and one on a short afternoon shift and one overnight.  The registered staff provide cover in the dementia unit.  Activities staff are available seven days a week.  Extra staff can be called on for increased resident requirements.  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Information containing personal resident information is kept confidential and cannot be viewed by other residents or members of the public.  Residents’ files are protected from unauthorised access by being held in secure rooms.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 service integration.  Entries are legible, dated, timed and signed by the relevant healthcare assistant or health professional, and include their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Dementia residents and their family receive specific information relating to the dementia unit.  The manager screens all potential residents prior to entry and records all admission enquires.  Residents and relatives interviewed confirmed they received information prior to admission and had the opportunity to discuss the admission agreement with the manager and clinical coordinator.  The admission agreement form in use aligns with the requirements of the ARC contract.  Exclusions from the service are included in the admission agreement.  The information provided at entry includes examples of how services can be accessed that are not included in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Rest home and hospital residents have their individual medications (unless they require refrigeration) stored in a locked drawer in each residents room.  The drawer can only be accessed by staff designated to administer the medications.  Medications are stored in a locked cupboard in the dementia unit office.  Medication administration practice complies with the medication management policy for the medication rounds sighted.  Medication prescribed is signed as administered on the electronic medication documentation system.  Registered nurses administer medicines.  All staff that administer medication are competent and have received medication management training.  The RN on duty reconciles the delivery and documents this.  Medication charts are documented in the electronic medication system by the prescribing doctors.  The system had only been active for one week prior to the audit so all medications were newly documented.  For the 20 medication charts reviewed electronically all documentation met legislative requirements and relevant guidelines.  No residents currently self-administer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all food is cooked on site by contracted kitchen staff.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need special diets and the kitchen manager works closely with the RNs on duty.  The kitchen staff have completed food safety training.  The kitchen manager and cooks follow a rotating seasonal menu which is currently in the process of review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  The service has exceeded the standard around meeting the specific dietary needs of dementia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Appropriate assessment tools were completed and assessments were reviewed at least six monthly or when there was a change to a resident’s health condition in files sampled.  The InterRAI assessment tool is implemented.  Care plans are developed on the basis of these assessments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the ten long-term care plans reviewed described the support required to meet the resident’s goals and needs.  All ten care plans identified allied health involvement under a comprehensive range of template headings.  Residents and their family/whānau are involved in the care planning and review process.  All care plans sampled had been signed by the resident and/or a family member.  Short-term care plans are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Food and fluid charts, staff interviews, observation of staff and equipment and progress notes charts sighted indicate that appropriate interventions are provided, despite not all interventions being clearly outlined in care plans.  Two resident files sampled had shifts where the turning chart had not been completed and one resident requiring a weekly BP for two weeks had not had this documented.  Registered nurses (RNs) (including the clinical coordinator) and healthcare assistants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monitoring was in place for 12 residents with 19 wounds (11 skin tears, one surgical wound, two skin cancers, two ulcerated areas, one ulcer, and one laceration).  There were no pressure injuries at the time of the audit.  Not all wounds had comprehensive assessments and management plans.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clinical coordinator and healthcare assistants demonstrated an understanding of the individualised needs of residents and report that two hourly turns occur.  Food and fluid charts are comprehensively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activities coordinators are employed (one full time and two part time) to operate the activities programme for all residents over seven days.  Two of the three activities coordinators are trained diversional therapists.  Healthcare assistants also provide activities in the dementia unit.  The activities programme has been reviewed and the service has exceeded the required standard around activities provided in the dementia unit.  Each resident has an individual activities assessment on admission and from this information an individual activities plan is developed as part of the care plan by the registered nurses with input from the activities staff.  Each resident is free to choose whether they wish to participate in the group activities programme or their individual plan.  Participation is monitored.  Group activities reflect ordinary patterns of life and include planned visits to the community.  All long-term resident files sampled have a recent activities plan within the care plan and this is evaluated at least six monthly when the care plan is evaluated.  Plans sampled in the dementia unit document activities to support the resident over the 24 hour period and each resident in the dementia unit now has a 24 hour care plan on the wall in their room to provide quick reference for visitors and staff.  Younger residents are encouraged to remain as active as possible within the community and to engage in age appropriate personal interest activities.  Residents and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is evaluated at least six monthly or earlier if there is a change in health status.  There is at least a three monthly review by the GP.  Changes in health status were documented and followed up with one exception (link 1.3.5.2).  Care plan reviews are signed by an RN.  Resident files sampled demonstrated that short-term care plans are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nurses initiate referrals to nurse specialists and allied health services.  Other specialist referrals are made by the GPs.  Interviews and medical notes demonstrate that referrals and options for care were discussed with the family.  The staff provided examples of where a resident’s condition had changed and the resident was reassessed.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There is a full-time maintenance person employed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The external area is well maintained.  The service has recently contracted specific gardening staff to provide a more pleasant environment for residents.  The dementia unit garden is interesting, large and secure.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All resident rooms have their own ensuites.  Toilets and showers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 home/hospital area is divided into seven ‘suites’, each with an individual open plan lounge/dining area.  Additionally there is a large communal lounge.  The dementia unit has two lounges, a quiet area and a dining area and an activities project area is being developed.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contracted cleaning staff.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done off site.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The orientation programme and mandatory education and training programme include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barbeque is available.  </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Residents were observed in their rooms with their call bell alarms in close proximity.  Call bells are checked monthly by maintenance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staff member available 24 hours a day, seven days a week with a current first aid/CPR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Margaret’s Hospital has an established infection control programme.  The infection control programme, its content and detail, is appropriate for the size, complexity and degree of risk associated with the service.  It is linked into the incident reporting system.  The clinical coordinator (a registered nurse) is the designated infection control coordinator with support from the unit manager and all staff as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at St Margaret’s Hospital is the designated infection control (IC) coordinator.  There are adequate resources to implement the infection control programme for the size and complexity of the organisation.  The IC nurse and IC team (comprising all staff) has good external support from the local laboratory infection control team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CHT infection control policies and procedures appropriate to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CHT’s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quality meetings.  If there is an emergent issue, it is acted upon in a timely manner.  Reports are easily accessible to the unit manager.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restraints and enablers.  Eight residents (hospital level) were using restraints and one resident was using an enabler.  Appropriate assessment and consent processes were completed for the one resident (YPD at hospital level) using a lap belt as an enabler. Staff receive mandatory training around restraint minimisation.  All care staff interviewed understood the difference between an enabler and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and a job description for the restraint coordinator are in place.  Restraint minimisation policies and procedures describe approved restraints.  A registered nurse is the designated restraint coordinator.  Restraint minimisation has been a focus in the quality/health and safety meetings.  A healthcare assistant has been appointed to the restraint team to show the healthcare assistant staff how to correctly document and monitor restraint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assessing a resident’s need for restraint.  Restraint assessments are based on information in the resident’s care plan, discussions with the resident and family and observations by staff.  Assessment tools are in place for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level residents’ files where restraint was being used were selected for review.  Each file included a restraint assessment and signed consent.  The restraint assessment addresses risks associated with restraint use.  This information is linked to the resident’s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restraint register is being implemented.  The register identifies the residents that are using a restraint, and the type of restraint used.  Eight residents were listed on the register.  Types of restraints used included bed rails and lap belts.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assessments reviewed identified that restraint is being used only as a last resort.  The restraint assessment process includes determining the frequency of monitoring while restraint is in use.  RNs have been updated on restraint procedures and documentation requirements and take responsibility at each shift to ensure restraint monitoring is correctly documented.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for both residents were completed and included when the restraint was put on and when it was taken off.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scheduled to be reviewed on a CHT restraint assessment and consent evaluation form six-monthly (at a minimum).  The restraint coordinator is new to her role and was unaware of the CHT evaluation process.  The evaluation of restraint use for the two files selected was last completed in December 2015.  A monthly restraint report is completed by the restraint coordinator and is signed off by the unit manager each month.  This report is discussed at each (monthly) RN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area manager meets at least annually with the restraint coordinators from all CHT sites to review restraint minimisation procedures and practice.  All care staff have an individual record of education in restraint minimisation and safety practice.  This is a two-yearly mandatory training requirement.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28"/>
        <w:gridCol w:w="1280"/>
        <w:gridCol w:w="2717"/>
        <w:gridCol w:w="1621"/>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with complex needs did not have these all documented in the care plan (link hospital tracer).  However staff were clearly able to describe interventions required and there was evidence that the cares, although not documented in some files were known to staff and being implemented.  The care planning issue is therefore a documentation issue and assessed as low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ten resident files (three hospital and three from the dementia unit) had identified issues that were not documented in the long-term care plan.  One resident (hospital level) did not have a short-term care plan developed on return from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identified needs are documented on a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Turning charts sampled, had shifts where they had not been completed (interview of these staff confirmed the turns had occurred and the residents confirmed this).  All wounds had either a wound assessment or a wound management plan, but only two wounds had both.  One resident had recent evidence of weekly and daily blood pressure readings as ordered by the GP but weekly blood pressure checks had not been documented recently.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Thirteen wounds did not have a comprehensive assessment and four wounds did not have a documented wound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(ii)  Two turning charts (hospital level) had occasions where they had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(iii) One resident (rest home level) requiring weekly blood pressure readings had not had these documented for the previous two weeks.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every wound has a comprehensive assessment and a wound management plan.</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turning charts are documented when completed.</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the GPs instructions are followed.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evaluation forms cover the criteria listed (a) – (k).  The restraint coordinator, new to her role, was unaware of the CHT restraint evaluation process.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scheduled to be evaluated six-monthly (at a minimum).  Two residents’ files reviewed indicated that the evaluations for both residents were last completed in December 2015.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use of restraint is evaluated as per CHT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398"/>
        <w:gridCol w:w="735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works actively with the contracted kitchen team to ensure that all residents’ nutritional needs are addressed.  Programmes are developed to address issues identified.  These include the REAP (Replenish, Energy and Protein) programme which includes fortifying foods usually eaten by residents for residents who are at risk of weight loss.  The emphasis is on food first rather than commercial supplements for managing unintended weight loss.  Additionally a finger food programme has been initiated to meet the specific needs of dementia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CHT St Margaret’s identified that malnutrition resulting in serious deterioration of health is a risk for dementia residents.  A project was developed to reduce this risk.  The service aims to provide nourishing finger foods at meal and snack times to prolong independence in eating, thereby supporting independence, self-esteem and dignity.  Finger foods and everyday foods are adapted so they can be easily picked up and eaten by hand.  The menu has been specifically designed and the finger foods deliver a high concentration of nutrients in a small volume of food.  This is not party food or sandwiches.  The programme commenced in March 2016 and went live on 11 May 2016.  A review of weight records for four residents on the programme identified weight stabilisation or weight gain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varied activities programme over seven days.  A new activities team has reviewed and amended the activities programme for the entire facility with positive feedback.  All residents in the dementia unit have had individual activities in which they engage and which they enjoy documented and these are now implemented by healthcare assistants.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2015, following a seeming lack of engagement in activities by residents in the dementia unit the service determined to improve the delivery of activities to better meet the resident’s needs.  Staff were recruited to the activities coordinator roles that have relevant qualifications – two diversional therapists and one trained teacher with experience in the health sector.  The mix of activities staff included two younger women and one more mature lady to meet different needs of different residents.  Twenty-four hour activity plans were completed for all sunflower suite (dementia) residents and placed on the wall in individual rooms for easy reference by all staff at all times of the day.  All healthcare assistants have been encouraged to be involved in activities and take responsibility for getting their residents to engage in activities with training, ideas and oversight provided by the activities coordinators.  As a result of these actions every resident file sampled in the dementia unit (six around activities) documented each resident being involved in a minimum of four activities every day.  Previously there were often days when some residents did not specifically engage in any activities as demonstrated in the resident files.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St Margaret's Hospital and Rest Home</w:t>
    </w:r>
    <w:bookmarkEnd w:id="58"/>
    <w:r>
      <w:rPr>
        <w:rFonts w:cs="Arial"/>
        <w:sz w:val="16"/>
        <w:szCs w:val="20"/>
      </w:rPr>
      <w:tab/>
      <w:t xml:space="preserve">Date of Audit: </w:t>
    </w:r>
    <w:bookmarkStart w:id="59" w:name="AuditStartDate1"/>
    <w:r>
      <w:rPr>
        <w:rFonts w:cs="Arial"/>
        <w:sz w:val="16"/>
        <w:szCs w:val="20"/>
      </w:rPr>
      <w:t>29 September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