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Maygrove Care Limited - Maygrove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Maygrove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Maygrove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November 2016</w:t>
      </w:r>
      <w:bookmarkEnd w:id="7"/>
      <w:r w:rsidRPr="009418D4">
        <w:rPr>
          <w:rFonts w:cs="Arial"/>
        </w:rPr>
        <w:tab/>
        <w:t xml:space="preserve">End date: </w:t>
      </w:r>
      <w:bookmarkStart w:id="8" w:name="AuditEndDate"/>
      <w:r w:rsidR="00A4268A">
        <w:rPr>
          <w:rFonts w:cs="Arial"/>
        </w:rPr>
        <w:t>9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Maygrove Village is privately owned. Services are provided on the first floor of an attached aged care village complex. Maygrove Village Hospital services (Maygrove Care) has 50 beds which can be used for either hospital or rest home level care.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family/whānau, two general practitioners, management and staff. </w:t>
      </w:r>
    </w:p>
    <w:p w:rsidRPr="00A4268A">
      <w:pPr>
        <w:spacing w:before="240" w:line="276" w:lineRule="auto"/>
        <w:rPr>
          <w:rFonts w:eastAsia="Calibri"/>
        </w:rPr>
      </w:pPr>
      <w:r w:rsidRPr="00A4268A">
        <w:rPr>
          <w:rFonts w:eastAsia="Calibri"/>
        </w:rPr>
        <w:t xml:space="preserve">There are two areas identified for improvement related to short term care plans not being consistently developed and evaluation processes. </w:t>
      </w:r>
    </w:p>
    <w:p w:rsidRPr="00A4268A">
      <w:pPr>
        <w:spacing w:before="240" w:line="276" w:lineRule="auto"/>
        <w:rPr>
          <w:rFonts w:eastAsia="Calibri"/>
        </w:rPr>
      </w:pPr>
      <w:r w:rsidRPr="00A4268A">
        <w:rPr>
          <w:rFonts w:eastAsia="Calibri"/>
        </w:rPr>
        <w:t xml:space="preserve">One area related to medication management has gained a continuous improvement rating.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A community advocate visits the facility regularly. </w:t>
      </w:r>
    </w:p>
    <w:p w:rsidRPr="00A4268A">
      <w:pPr>
        <w:spacing w:before="240" w:line="276" w:lineRule="auto"/>
        <w:rPr>
          <w:rFonts w:eastAsia="Calibri"/>
        </w:rPr>
      </w:pPr>
      <w:r w:rsidRPr="00A4268A">
        <w:rPr>
          <w:rFonts w:eastAsia="Calibri"/>
        </w:rPr>
        <w:t>There were no residents who identify as Maori residing at the service at the time of audit. There are no known barriers to Maori residents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There is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The service has linkages with a range of specialist healthcare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 register and the information is recorded to meet all the requirements of the standard.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statements are identified in the business plan. The board of directors ensures service planning covers business strategies for all aspects of service so the services offered meet residents’ needs, legislative and good practice standards. </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an internal audit process, complaints management, incident/accident reporting, annual resident surveys, restraint and infection control data collection. Quality and risk management activities and results are shared among management, staff, residents and family/whānau, as appropriate. Corrective action planning is well documented. The facility manager reports weekly to the board of directors or more frequently if any issues of a serious nature occur. </w:t>
      </w:r>
    </w:p>
    <w:p w:rsidRPr="00A4268A">
      <w:pPr>
        <w:spacing w:before="240" w:line="276" w:lineRule="auto"/>
        <w:rPr>
          <w:rFonts w:eastAsia="Calibri"/>
        </w:rPr>
      </w:pPr>
      <w:r w:rsidRPr="00A4268A">
        <w:rPr>
          <w:rFonts w:eastAsia="Calibri"/>
        </w:rPr>
        <w:t xml:space="preserve">The day to day operation of the facility is undertaken by staff that are appropriately experienced, educated and qualified. Residents and family/whānau confirmed during interview that all their needs and wants are met. </w:t>
      </w:r>
    </w:p>
    <w:p w:rsidRPr="00A4268A">
      <w:pPr>
        <w:spacing w:before="240" w:line="276" w:lineRule="auto"/>
        <w:rPr>
          <w:rFonts w:eastAsia="Calibri"/>
        </w:rPr>
      </w:pPr>
      <w:r w:rsidRPr="00A4268A">
        <w:rPr>
          <w:rFonts w:eastAsia="Calibri"/>
        </w:rPr>
        <w:t>The service implements the documented staffing levels and skill mix to ensure contractual requirements are met. Human resources management processes implemented identify good practice and meet legislative requirements.</w:t>
      </w:r>
    </w:p>
    <w:p w:rsidRPr="00A4268A">
      <w:pPr>
        <w:spacing w:before="240" w:line="276" w:lineRule="auto"/>
        <w:rPr>
          <w:rFonts w:eastAsia="Calibri"/>
        </w:rPr>
      </w:pPr>
      <w:r w:rsidRPr="00A4268A">
        <w:rPr>
          <w:rFonts w:eastAsia="Calibri"/>
        </w:rPr>
        <w:t xml:space="preserve">Clinical records are integrated. The contents are individualised, meet current accepted practice for content and timeliness, and are stored securely including archived documents.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admitted following a Needs Assessment and Service Co-ordination (NASC) assessment, to ensure access to the facility is appropriate. When a vacancy occurs, sufficient and relevant information is provided to the potential resident/family to facilitate the admission.</w:t>
      </w:r>
    </w:p>
    <w:p w:rsidRPr="00A4268A" w:rsidP="00621629">
      <w:pPr>
        <w:spacing w:before="240" w:line="276" w:lineRule="auto"/>
        <w:rPr>
          <w:rFonts w:eastAsia="Calibri"/>
        </w:rPr>
      </w:pPr>
      <w:r w:rsidRPr="00A4268A">
        <w:rPr>
          <w:rFonts w:eastAsia="Calibri"/>
        </w:rPr>
        <w:t xml:space="preserve">Services are provided by suitably qualified and trained staff to meet the needs of residents. The registered nurses are supported by care and allied health staff including, a podiatrist, physiotherapist, pharmacist and four general medical practitioners. Shift handovers support continuity of care. </w:t>
      </w:r>
    </w:p>
    <w:p w:rsidRPr="00A4268A" w:rsidP="00621629">
      <w:pPr>
        <w:spacing w:before="240" w:line="276" w:lineRule="auto"/>
        <w:rPr>
          <w:rFonts w:eastAsia="Calibri"/>
        </w:rPr>
      </w:pPr>
      <w:r w:rsidRPr="00A4268A">
        <w:rPr>
          <w:rFonts w:eastAsia="Calibri"/>
        </w:rPr>
        <w:t>Residents have an initial nursing assessment and care plan developed by the registered nurse (RN) on admission to the service. After a full comprehensive assessment, the long term care plan is developed and implemented. All residents` records reviewed demonstrated that needs, goals and outcomes are identified and reviewed on a regular basis with the resident and family’s input.</w:t>
      </w:r>
    </w:p>
    <w:p w:rsidRPr="00A4268A" w:rsidP="00621629">
      <w:pPr>
        <w:spacing w:before="240" w:line="276" w:lineRule="auto"/>
        <w:rPr>
          <w:rFonts w:eastAsia="Calibri"/>
        </w:rPr>
      </w:pPr>
      <w:r w:rsidRPr="00A4268A">
        <w:rPr>
          <w:rFonts w:eastAsia="Calibri"/>
        </w:rPr>
        <w:t>Residents and families interviewed reported being well informed and involved in the care planning process, and that the care provided is of a high standard. Residents are referred to other health providers as required, with verbal and written information provided.</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Medicines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The service has a four-week rotating menu which is approved by a registered dietitian. The kitchen has an ‘A grade’ food rating with Auckland City Council.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 </w:t>
      </w:r>
    </w:p>
    <w:p w:rsidRPr="00A4268A">
      <w:pPr>
        <w:spacing w:before="240" w:line="276" w:lineRule="auto"/>
        <w:rPr>
          <w:rFonts w:eastAsia="Calibri"/>
        </w:rPr>
      </w:pPr>
      <w:r w:rsidRPr="00A4268A">
        <w:rPr>
          <w:rFonts w:eastAsia="Calibri"/>
        </w:rPr>
        <w:t xml:space="preserve">There are documented emergency management response processes which are understood and implemented by staff. </w:t>
      </w:r>
    </w:p>
    <w:p w:rsidRPr="00A4268A">
      <w:pPr>
        <w:spacing w:before="240" w:line="276" w:lineRule="auto"/>
        <w:rPr>
          <w:rFonts w:eastAsia="Calibri"/>
        </w:rPr>
      </w:pPr>
      <w:r w:rsidRPr="00A4268A">
        <w:rPr>
          <w:rFonts w:eastAsia="Calibri"/>
        </w:rPr>
        <w:t xml:space="preserve">The building has a current building warrant of fitness and an approved fire evacuation plan. There have been no changes to the facility footprint since the previous audit. </w:t>
      </w:r>
    </w:p>
    <w:p w:rsidRPr="00A4268A">
      <w:pPr>
        <w:spacing w:before="240" w:line="276" w:lineRule="auto"/>
        <w:rPr>
          <w:rFonts w:eastAsia="Calibri"/>
        </w:rPr>
      </w:pPr>
      <w:r w:rsidRPr="00A4268A">
        <w:rPr>
          <w:rFonts w:eastAsia="Calibri"/>
        </w:rPr>
        <w:t xml:space="preserve">The facilities meet residents’ needs and provide furnishings and equipment that is regularly maintained and updated. All bedrooms are single occupancy. There is adequate toilet, bathing and hand washing facilities. Lounge and dining areas meet residents' relaxation, activity and dining needs. </w:t>
      </w:r>
    </w:p>
    <w:p w:rsidRPr="00A4268A">
      <w:pPr>
        <w:spacing w:before="240" w:line="276" w:lineRule="auto"/>
        <w:rPr>
          <w:rFonts w:eastAsia="Calibri"/>
        </w:rPr>
      </w:pPr>
      <w:r w:rsidRPr="00A4268A">
        <w:rPr>
          <w:rFonts w:eastAsia="Calibri"/>
        </w:rPr>
        <w:t>The facility has central heating throughout. Opening doors and windows creates an air floor to keep the facility cool when required. The outdoor areas provide furnishings and shade for residents’ use. Residents and family/whānau were happy with the environment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states that enablers shall be voluntary and the least restrictive option to meet the needs of the resident to promote independence and safety. At the time of the audit, the service has no enablers in use. As the facility is on the first floor of a village complex the lift to get to the care unit has a key code for security. </w:t>
      </w:r>
    </w:p>
    <w:p w:rsidRPr="00A4268A">
      <w:pPr>
        <w:spacing w:before="240" w:line="276" w:lineRule="auto"/>
        <w:rPr>
          <w:rFonts w:eastAsia="Calibri"/>
        </w:rPr>
      </w:pPr>
      <w:r w:rsidRPr="00A4268A">
        <w:rPr>
          <w:rFonts w:eastAsia="Calibri"/>
        </w:rPr>
        <w:t xml:space="preserve">There are nine residents, one of whom has two items approved, so there are 10 restraints in use. The restraints in use at the time of audit are bedside rails and chair lap belts. Appropriate and safe use of restraint, as set out in policy, is implemented by the service. There is a process for determining restraint approval and ongoing education and competencies for staff. Educational content includes de-escalation techniques which are understood and implemented by staff as required.  </w:t>
      </w:r>
    </w:p>
    <w:p w:rsidRPr="00A4268A">
      <w:pPr>
        <w:spacing w:before="240" w:line="276" w:lineRule="auto"/>
        <w:rPr>
          <w:rFonts w:eastAsia="Calibri"/>
        </w:rPr>
      </w:pPr>
      <w:r w:rsidRPr="00A4268A">
        <w:rPr>
          <w:rFonts w:eastAsia="Calibri"/>
        </w:rPr>
        <w:t xml:space="preserve">Six weekly evaluations are conducted for each individual restraint in use and if restraint is continued the resident or family/whanau sign ongoing consent approval six monthly. Approved restraint is monitored according to risk. An annual quality review of the use of restraint and policy content was undertaken in January 2016.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enrolled nurse and the clinical manager aims to prevent and manage infections. There are terms of reference for the infection control committee which meets six weekly. Specialist infection prevention and control advice can be accessed from the District Health Board, community laboratory services, and the general practitioners as required. 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procedures and supported with regular education.</w:t>
      </w:r>
    </w:p>
    <w:p w:rsidRPr="00A4268A">
      <w:pPr>
        <w:spacing w:before="240" w:line="276" w:lineRule="auto"/>
        <w:rPr>
          <w:rFonts w:eastAsia="Calibri"/>
        </w:rPr>
      </w:pPr>
      <w:r w:rsidRPr="00A4268A">
        <w:rPr>
          <w:rFonts w:eastAsia="Calibri"/>
        </w:rPr>
        <w:t>Aged care specific surveillance is undertaken, analysed, trended and results reported and fed back to staff at the staff meetings.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12"/>
        <w:gridCol w:w="1280"/>
        <w:gridCol w:w="8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policies, procedures and processes to meet their obligations in relation to the Code of Health and Disability Services Consumers` Rights (the Code). Care givers interviewed understood the requirements of the Code and were observed demonstrating respectful communication, encouraging independence, providing options and maintaining dignity and privacy. Training on residents’ rights is included as part of the induction process for all new staff and is ongoing, as was verified in the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detailed informed consent policy is in place. The service ensures informed consent is part of all care plans and contact with families. Every resident has the choice to receive services, refuse services and withdraw consent for services. If a resident is cognitively alert they will decide on their own care and treatments unless they indicate they want representation. Informed consent is closely linked with the Residents` Code of Rights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ensures residents/family/enduring power of attorney (EPOA) understand documents that they are signing. The service maintains records to identify whether the EPOA has been activated for individual residents or are held for future needs. The ‘general’ informed consent form, resuscitation authorisation, restraint and enabler consent form, and influenza vaccine consent were sighted. The caregivers and registered and enrolled nurses interviewed demonstrated their ability to provide information that residents required for the residents to be actively involved in their care and decision-making. Staff interviewed acknowledge the resident`s right to make choices based on information presented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Pamphlets related to the Nationwide Advocacy Service were available near the reception. A poster by the dining room entrance details the contact details of a community advocate who visits at least every six weeks and meets new residents and existing residents who want to interact. The community advocate also provides a consumer perspective on the restraint management committee. Family members and residents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how to access the Advocacy Service and education was provided as evidenced in the education plan and staff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outings, activities and entertainment. This is evident in the residents’ files sampled. Visitors are welcome and the facility has very flexible vising hours.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Maygrove Care implements organisational policies and procedures to ensure complaints processes reflect a fair complaints system. During interview residents, family/whānau and staff reported their understanding of the complaints process. Staff confirmed they document verbalised complaints so all issues are accurately reflected and followed up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the nature of the complaint, the dates received and the actions taken to address any complaint received. Documented complaints information is used to improve services as appropriate. Complaints information is shared at staff meetings and with the board of directors as required. This is confirmed in meeting minutes sighted and during staff, director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on display and available in the main foyer. The service has a suggestion box which is checked daily and complaints can be placed in this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outstanding complaints at the time of audit and all complaints have been resolved at facility level. </w:t>
            </w:r>
          </w:p>
          <w:p w:rsidR="00EB7645" w:rsidRPr="00BE00C7" w:rsidP="00BE00C7">
            <w:pPr>
              <w:pStyle w:val="OutcomeDescription"/>
              <w:spacing w:before="120" w:after="120"/>
              <w:rPr>
                <w:rFonts w:cs="Arial"/>
                <w:b w:val="0"/>
                <w:lang w:eastAsia="en-NZ"/>
              </w:rPr>
            </w:pPr>
            <w:r w:rsidRPr="00BE00C7">
              <w:rPr>
                <w:rFonts w:cs="Arial"/>
                <w:b w:val="0"/>
                <w:lang w:eastAsia="en-NZ"/>
              </w:rPr>
              <w:t>There was one death referred to the coroner in July 2016. The documented dated 9 August 2016 states that no inquiry was opened and it was death by natural causes. This was reported to the Ministry of Health at the time of occurrence. (Confirmation letter from Healthcert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being made aware of the Code and the Nationwide Health and Disability Advocacy Service (Advocacy Service) as part of the admission information provided and discussion with the registered nurse on admission. The Code is displayed in the entrance way and pamphlets are also in each resident’s room. Information on advocacy services and how to make a complaint / feedback forms and a suggestion box is also available by the main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that they receive services in a manner that has regard for their dignity, privacy, sexuality, spirituality and choices. Families reported there was a positive atmosphere when they visit regardless of the time of day.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(eg, when attending to personal cares, ensuring residents information is held securely and privately). Any exchange of verbal information is managed so that others cannot hear. All residents have their own single occupancy rooms.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going on outings with family in the community, community activities and attending activities of their choice. Each service plan included documentation related to the resident`s abilities, preferences,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culture,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service`s policy on abuse and neglect, including the signs and symptoms, and what to do should there be any signs. Education on abuse and neglect is part of the orientation programme for all new staff, and is then provided annually, as confirmed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reviewed acknowledge the organisation`s responsibilities to Maori residents in accordance with the Treaty of Waitangi. The organisation is committed to identifying the needs of residents and ensuring staff are trained and capable of working appropriately with all residents in their care. The provision of culturally appropriate services and the identification and reduction of barriers to receiving services are part of the organisation`s objectives which are documented in the Maori Health Plan.</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identify as Maori at the time of audit. The caregivers, and registered health professionals interviewed demonstrated good understanding of services that are in line with the needs of Maori residents and importance of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they were consulted on their individual culture, values and beliefs and that staff respect these. Resident`s personal preferences, requiring interventions and special needs were included in all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received training in cultural awareness and this was evidenced in the education plan and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Two general practitioners interviewed also expressed satisfaction with the standard of services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records reviewed have job descriptions and employment agreements that have clear guidelines regarding professional boundaries and the expected staff code of conduct. The family and residents reported they are happy with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allied health professionals, such as the physiotherapists, podiatrist and other specialist services. Two physiotherapy assistants work with residents to implement the physiotherapy exercise / mobility plan for each resident. Applicable residents are referred to and seen by the community residential care pharmacists from the local DHB. The registered and enrolled nurses have access to regular ongoing education and records of this are maintained. Residents and family are invited to attend the residents’ six monthly review meetings. Detailed assessment charts are used to document wounds and their progress in healing. The service has recently changed to an electronic medication management system (refer to 3.12.1).</w:t>
            </w:r>
          </w:p>
          <w:p w:rsidR="00EB7645" w:rsidRPr="00BE00C7" w:rsidP="00BE00C7">
            <w:pPr>
              <w:pStyle w:val="OutcomeDescription"/>
              <w:spacing w:before="120" w:after="120"/>
              <w:rPr>
                <w:rFonts w:cs="Arial"/>
                <w:b w:val="0"/>
                <w:lang w:eastAsia="en-NZ"/>
              </w:rPr>
            </w:pPr>
            <w:r w:rsidRPr="00BE00C7">
              <w:rPr>
                <w:rFonts w:cs="Arial"/>
                <w:b w:val="0"/>
                <w:lang w:eastAsia="en-NZ"/>
              </w:rPr>
              <w:t>The two general practitioners confirmed the service sought prompt and appropriate medical intervention when required and staff were responsive and implemented their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in-service education on a regular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reviewed. There was also evidence of resident/family input into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and accessible via the DHB when required. Staff knew how to do so, although reported this was very rarely required. Staff utilised a phrase board for a recent resident who had limited ability to communicate in English. This had been developed in conjunction with the resident’s family. All current residents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Maygrove Village was built and is owned and operated by Hooper Developments. Currently it is the only facility owned by this group. Maygrove Village has a business plan in place which is reviewed annually by the board and monitored quarterly by management to measure progress towards meeting set goals. There are specific Care Unit goals which are set as part of the quality system in operation. Each of the committees which operate within the care unit, such as health and safety, infection control and restraint have individualised goals. The business plan identifies both strategic and workplace goals which show how services are planned, coordinated and delivered to meet residents’ needs. The organisation’s philosophy, mission statement and values are clearly documented and the facility manager confirms they underpin all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service had 47 residents. One was rest home level care and 46 were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facility manager in place who is experienced in aged care and has been in the role since March 2015. She has worked at Maygrove Care since 2007. The facility manager is supported by a clinical nurse manager, nurse advisor and a team of registered nurses and enrolled nurses. The facility manager holds a current nursing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All the members of the management team maintain education and training related to their roles by attendance at conferences, in-service education, off-site training and via internet education.  Accountability and responsibilities are clearly described in the job descriptions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management staff, the service ensures the day-to-day operation of the service is managed effectively and efficiently by staff who fill in. This is achieved by staff being upskilled to perform the roles they are asked to undertake. </w:t>
            </w:r>
          </w:p>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facility manager, the clinical nurse manager undertakes the role and the most senior RN performs the clinical nurse manager’s role. During interview, the clinical nurse manager stated they are supported by the nurse advisor and a member of the BOD as required.</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there is no disruption to services when the facility manager is away.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Maygrove Care has a quality and risk management system which is understood and implemented by service providers. This includes the update of policies and procedures, regular internal audits, incident and accident reporting, health and safety reporting, infection control data collection and management, restraint and complaints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a corrective action is put in place to address the situation. Corrective actions are developed and managed by the committee which relates closest to the issue. For example, infection control management is undertaken by the infection control committee. Quality information is shared with all staff via the handover process on each shift and/or by memos, in the staff communication diary, in meeting minutes and statistical data reporting. This is verified during staff interviews. Strategic and workplace goal achievements are measured and reported on quarterly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reviewed reflected legislative and good practice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trended against previously collected data. The annual review of all quality planning and data occurred in January 2016. This linked to the quality and risk management system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quality review includes the maximisation of resources, strategies to reduce the risk of adverse outcomes, ways to improve resident and staff safety, promotion of appropriate cultural interventions and ensuring evidence based information is generated in policies.  The annual resident satisfaction survey results are also used to inform the planning processes. The results of the 2016 survey gained an 86.5% overall satisfaction. Issues raised have been addressed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Staff verbalised examples of quality improvements made such as the decrease in medication errors owing to the introduction of an electronic medicine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using the quality and risk planning processes. Newly found hazards are discussed, monitored and managed via the health and safety committee. Staff confirmed that they understood and implemented documented hazard identification processes. The hazard register sighted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The facility manager confirmed their awareness of the organisation’s requirement related to statutory and or/regulatory reporting obligations including the need to report pressure injuries under section 31 of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along with any corrective actions is shared at staff meetings as confirmed in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Documentation in residents’ files and the 2016 incident and accident forms reviewed identified that all issues reported had corrective actions put in place when required. One week following the corrective action being put in place a review and evaluation is undertaken to ensure all requirements are met and to measure the outcome of the procedures implemented. The incident and accident form is then signed off by either the facility manager or the clinical manager. Serious harm incidents are reported to the board immediately. This is confirmed in emails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notification is clearly shown in documentation and confirmed during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Management reported during interview that information gathered from incident and accidents is used as an opportunity to improve services where indicated. All incidents are evaluated by the health and safety committee to identify areas for improvement. The service is pro-active in the identification of areas of risk and this is supported by them obtaining a tertiary rating for Work Safety Management Practices from Accident Compensation Corporation (ACC) in September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that reflects good employment practice and meet the requirements of legislation. This is confirmed in the staff files reviewed. All roles have job descriptions that describe staff responsibilities and accountabilities. Staff complete an orientation programme with specific competencies for their roles. The orientation/induction process is for up to two weeks and rosters viewed and staff interviewed confirmed that during this period the staff member is not counted as an active staff member on the floor. Two recently employed staff stated the orientation is giving them a very good understanding of expected procedures and that they are not asked to perform any role they are unsure of. New staff are mentored by senior staff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 the staff files reviewed confirmed some competencies, such as medication management, fire and emergency and restraint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on an ongoing annual basis. Employment processes included reference checking and annual staff appraisals. (All appraisals were up to date for the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sighted for 2016 identifies that staff undertake training and education related to the roles they undertake. Topics covered in annual training and education relate to age care and health care services. Members of the management team also attend workshops and seminars specific to management related topics. Education occurs both on and off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identified that residents’ needs are met by the service. This is also supported in the resident satisfaction survey results sighted for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to meet residents’ needs and to comply with contractual requirements. Documentation identifies that at all times adequate numbers of suitably qualified and experienced staff are on duty to provide safe and quality care. The service undertook an analysis of incident times which showed that most falls occurred at specific times of the day. Follow up included the introduced an additional staff member to cover both the identified times for morning and afternoon shift. This shift is known as a swing shift and is shown on the rosters reviewed. </w:t>
            </w:r>
          </w:p>
          <w:p w:rsidR="00EB7645" w:rsidRPr="00BE00C7" w:rsidP="00BE00C7">
            <w:pPr>
              <w:pStyle w:val="OutcomeDescription"/>
              <w:spacing w:before="120" w:after="120"/>
              <w:rPr>
                <w:rFonts w:cs="Arial"/>
                <w:b w:val="0"/>
                <w:lang w:eastAsia="en-NZ"/>
              </w:rPr>
            </w:pPr>
            <w:r w:rsidRPr="00BE00C7">
              <w:rPr>
                <w:rFonts w:cs="Arial"/>
                <w:b w:val="0"/>
                <w:lang w:eastAsia="en-NZ"/>
              </w:rPr>
              <w:t>Rosters sighted showed that staff were replaced for sickness and annual leave. This was confirmed during interview with staff and management. Staff reported they had adequate time to complete all required tasks to meet residents’ needs. There is at least one registered nurse on all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dedicated cleaning and laundry staff seven days a week. The activities coordinator works 30 hours per week and there are two physiotherapy assistants covering 54 hours per week. The physiotherapy assistants work under the guidance of a physiotherapist who works six hours per week. A contracted occupational therapist undertakes resident assessments when required and is involved in staff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all records reviewed as the unique identifier. All necessary demographic, personal, clinical and health information was fully completed in the seven residents` records randomly sampled for review. Clinical notes were current and integrated with GP and allied health professional notes. Records were legible with the name and designation of the person making the entry identifiable. A register of employee names, designation and signatures is maintained. Medication records are now electronic.</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records are held for the required period before being destroyed. No personal or private information was on public display during the audit. Some records, including previous bowel charts and one neurological monitoring form, were not able to be located. It was thought this information had been removed for archiving although could not be located. One resident’s file contained a DHB discharge summary from another resident. These were isolated events as all other documents were available when requested and located in the correct resident’s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admission/enquiry form that records the pre-admission information. There is a resident`s welcome brochure for all enquiries. Residents enter the service when their required level of care has been assessed and confirmed by the local Needs Assessment and Service Coordination (NASC) service. The service provides rest home care and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on this topic stated they were very satisfied with the pre-admission and admission process and the information that had been made available to them in a kind and timely manner. Records reviewed contained the information record, assessments and signed admission agreements in accordance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A register is maintained of all enquires and facility occupancy on a day by day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if appropriate. A transfer/discharge summary is completed when facilitating an urgent or planned transfer from Maygrove Village Hospital to acute care services, such as the DHB or another aged residential care facility. There is open communication between all services, the resident and the family. At the time of transition between services, appropriate information, including a copy of the medication record (with any known allergies documented) is provided for the ongoing management of the resident. All referrals are documented in the progress records. </w:t>
            </w:r>
          </w:p>
          <w:p w:rsidR="00EB7645" w:rsidRPr="00BE00C7" w:rsidP="00BE00C7">
            <w:pPr>
              <w:pStyle w:val="OutcomeDescription"/>
              <w:spacing w:before="120" w:after="120"/>
              <w:rPr>
                <w:rFonts w:cs="Arial"/>
                <w:b w:val="0"/>
                <w:lang w:eastAsia="en-NZ"/>
              </w:rPr>
            </w:pPr>
            <w:r w:rsidRPr="00BE00C7">
              <w:rPr>
                <w:rFonts w:cs="Arial"/>
                <w:b w:val="0"/>
                <w:lang w:eastAsia="en-NZ"/>
              </w:rPr>
              <w:t>One family interviewed had experienced their relative being transferred from the DHB to this facility and reported that they were kept informed before and during the transfer. Another resident required transfer to the DHB for investigation and management following a fall. The resident and family member verified they were kept well informed at all stages.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and procedure clearly describes the processes to ensure safe administration of all medications. Medicine standing orders are current.</w:t>
            </w:r>
          </w:p>
          <w:p w:rsidR="00EB7645" w:rsidRPr="00BE00C7" w:rsidP="00BE00C7">
            <w:pPr>
              <w:pStyle w:val="OutcomeDescription"/>
              <w:spacing w:before="120" w:after="120"/>
              <w:rPr>
                <w:rFonts w:cs="Arial"/>
                <w:b w:val="0"/>
                <w:lang w:eastAsia="en-NZ"/>
              </w:rPr>
            </w:pPr>
            <w:r w:rsidRPr="00BE00C7">
              <w:rPr>
                <w:rFonts w:cs="Arial"/>
                <w:b w:val="0"/>
                <w:lang w:eastAsia="en-NZ"/>
              </w:rPr>
              <w:t>Medicines for residents are received from the pharmacy in a pre-packed delivery system and are checked on arrival. A safe medicine management was observed during the audit. Residents are informed of the names of each medicine being administered and the expected action. The resident had the right to refuse offered medicines, and in this event the rational was noted. Long term or short term changes in medicines prescribed are discussed with the resident or their family.</w:t>
            </w:r>
          </w:p>
          <w:p w:rsidR="00EB7645" w:rsidRPr="00BE00C7" w:rsidP="00BE00C7">
            <w:pPr>
              <w:pStyle w:val="OutcomeDescription"/>
              <w:spacing w:before="120" w:after="120"/>
              <w:rPr>
                <w:rFonts w:cs="Arial"/>
                <w:b w:val="0"/>
                <w:lang w:eastAsia="en-NZ"/>
              </w:rPr>
            </w:pPr>
            <w:r w:rsidRPr="00BE00C7">
              <w:rPr>
                <w:rFonts w:cs="Arial"/>
                <w:b w:val="0"/>
                <w:lang w:eastAsia="en-NZ"/>
              </w:rPr>
              <w:t>Medicines are locked away in a secure room. Three medication trolleys are used for the medication round (one for each wing). Medicines that require refrigeration are stored in a separate fridge. Temperature monitoring of the fridge is completed and records were available. Controlled drugs are managed in accordance with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There is a specimen signature register maintained. Resident photo identification is on all individual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are self-administering medications. There is a three monthly risk assessment for a resident who has been approved by the GP and the clinical manager to administer their own medications.</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for nursing staff and the limited care staff designated to administer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is provided on site by the Maygrove Village catering staff. The catering manager has worked at this facility for 14 years and is assisted by 14 staff (including kitchen hands). Eleven staff have completed food safety training. The menu is a four week seasonal rotating menu. The current menu has been reviewed by a qualified dietitian. The service holds an ‘A grade’ food rating with the Auckland City Council with an expiry date of 30 September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production, preparation, storage and disposal comply with current legislation and guidelines. It is observed the area where food is plated for meal service is cluttered and contains the kitchen washing machine and drier.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by the registered nurse and a dietary profile is developed. The personal food preferences, any special diets and modified texture requirements are made known to kitchen staff and accommodated in the daily meal plan. Special equipment to meet resident`s nutritional needs, is available. Nutritional supplements are also readily available and used.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with meals is verified by resident and family interviews. The main meal is provided midday. Residents are now clearly given a choice for alternative options in the evening if they do not want the planned meal. Records are retained of the resident’s evening meal choice.</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 in a respectful manner. There is sufficient staff on duty in the dining room at meal times to ensure appropriate assistance is available to residents as needed. Where preferred residents can eat their meals in their room and staff assistance is also provided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full occupancy, the enquirer is advised to ensure the prospective resident and family are supported to find an appropriate care alternative, or, alternatively is waitlisted for a bed to become available. In the event the prospective resident is wait listed, there is regular communication with the prospective resident and or their family member until a bed becomes available or another facility has been selected.</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current services offered, a referral for reassessment to the NASC is made and a new placement found. This is undertaken in consultation with the resident and family/whanau. The registered nurses advise this has occurred when a resident was identified as needing a secure dementia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falls risk, skin integrity, skin tear risk, pressure area risk, and nutritional assessment. These tools are used during the admission processes and reviewed at least six monthly or sooner when new deficits are recognised. The sample of care plans reviewed had an integrated range of resident related information. All residents’ records reviewed have a completed interRAI assessments completed by one of the three registered nurses who hold current interRAI competency. This included a resident who had been admitted within the last 21 days. A schedule has been developed by the clinical manager for interRAI assessments on admission and for the six monthly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initial and long term care plans reflected the support needs of residents. Short term care plans are not consistently developed when the resident has short term changing care needs including infection or pain. Care plans evidence service integration with progress records, activities records, medical and allied health professionals’ entries are clearly written, informative and relevant.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This includes where short term care plans had not been developed for short term or new events that were not included of the long term care plan. Interventions were provided to the sampled residents for wound care, pressure area management, confusion, pain, weight loss, monitoring a resident after a fall and treatment of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wound care and continence supplies to meet the needs of the residents. Observations on the day of audit indicated residents are receiving appropriate care to meet their individual needs. The clinical manager and nursing team discussed the care plans which are comprehensive. The caregivers interviewed reported that the care plans are accurate and are kept up-to-date and are able to be followed.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and implemented by the activities coordinator who herself regularly attends a community based day programme for the aged to gain ideas. The weekly activities plan is provided in advance to all residents. Daily records of attendance are maintained.</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 monthly as part of the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The activities reflect residents` goals, ordinary patterns of life and include normal community activities, individual group activities and one on one activities as needed. Examples included music /entertainment sessions, bingo, monthly birthday parties, arts and crafts, manicures and pedicures, outings, and family events. Participation in any activity is voluntary. There is a church service occurring weekly with four different religious denominations providing onsite activities for consenting residents. Wi-Fi is available to residents. There is a library on site, videos are available, and a movie internet streaming service now provides residents with expanded movie choice. Residents can have a telephone in their room.</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surveys demonstrated satisfaction with the programme and that information is used to improve the range of activities offered. Residents interviewed confirmed they were satisfied with the programme and their participation is encouraged but not forced.</w:t>
            </w:r>
          </w:p>
          <w:p w:rsidR="00EB7645" w:rsidRPr="00BE00C7" w:rsidP="00BE00C7">
            <w:pPr>
              <w:pStyle w:val="OutcomeDescription"/>
              <w:spacing w:before="120" w:after="120"/>
              <w:rPr>
                <w:rFonts w:cs="Arial"/>
                <w:b w:val="0"/>
                <w:lang w:eastAsia="en-NZ"/>
              </w:rPr>
            </w:pPr>
            <w:r w:rsidRPr="00BE00C7">
              <w:rPr>
                <w:rFonts w:cs="Arial"/>
                <w:b w:val="0"/>
                <w:lang w:eastAsia="en-NZ"/>
              </w:rPr>
              <w:t>Families are able to attend some activities. The families interviewed reported their relatives enjoyed the range and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appropriate assessment tools are available. Assessments are consistently completed for relevant aspects of care, excluding the use of objective pain assessment tools when additional pain relief (including opiods) is provided to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 families reported that they can consult with staff and/or the GP if they have any concerns or there are changes in the resident`s condition. They report that changes in the resident’s condition are identified and followed up in a timely manner and this was sighted during audit. Family communications are detailed within the progress notes of the residents’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 If the need for non-urgent services are indicated or requested, the GP or RN sends a referral to seek specialist input. Copies of any referrals were sighted in residents` records, for example, referrals to radiology, speech language therapist, palliative care services, the WDHB aged residential care pharmacist, community mental health services, and DHB outpatient specialist’s services.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reported that appropriate referrals to other health and disability services are well managed at this service. The resident and family members interviewed identified they are always consulted and give agreement prior, or on occasions have declined to have referrals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safe and appropriate storage and disposal of waste substances and this is implemented. Yellow sharps bins are used for the safe disposal of medical waste, such as needles. Staff report their understanding of safe disposal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Chemicals are labelled in bottles provided by the contracted company who supplies them. Safety data sheets were sighted for the chemicals in use. There is a chemical products reference chart on the wall in the area where chemicals are stored. A six monthly audit of chemicals and the safety data sheets is undertaken to ensure the complies with this standard. A chemical hazard register kept at the reception area, in the laundry and in the cleaner’s room.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equipment/clothing (PPE) sighted included disposable gloves, aprons and goggles. Staff interviewed confirmed they can access PPE at any time and were observed wearing disposal gloves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which expires 16 June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identify and manage maintenance. The care unit shares the maintenance and gardening team with the village and external contractors are used as required.  Electrical safety testing occurs annually and was completed in June 2016 by a registered electrician. Clinical equipment is tested and calibrated by an approved provider at least annually and was last undertaken in September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bathroom floors are non-slip and walking areas are kept clear of obstructions. Monthly environmental audits are undertaken and corrective actions are put in place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identifies planned annual maintenance.  Day to day maintenance is undertaken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Outdoor areas located on the ground floor and a deck off the main lounge have appropriate seating and umbrellas for resident use. Resident use of these areas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 and shower facilities. All bedrooms have toilet and hand basin ensuites and 15 bedrooms have full ensuites. There are centrally located shower areas where required and separate staff and visitor toilet facilities. Hot water temperatures are monitored to ensure they remain within safe limits for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occupancy and are of a size which allows enough space for residents to mobilise safely with or without assistance. They are personalised to meet resident’s wants and needs and have appropriate areas for residents to place personal belongings.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confirmed they are happy with their personal space.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areas to meet their relaxation, activity and dining needs. There are three lounge areas, one in each wing. There is a separate centralised dining area. The service has a furniture replacement programme to ensure common areas and furnishings are kept in a good state of repair. Since the previous audit the main lounge has had sun shade blinds and light emitting diodes (LED) installed.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physiotherapy room which is very well equipped. Activities are undertaken in the main lounge and in the dining area. This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voiced their satisfaction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procedures in place for cleaning and laundry tasks. The laundry is very well set out and has a clean and dirty entrance. The equipment is regularly maintained. Staff stated they inspect the linen post laundering to ensure it is clean and they understand the need to place the washing machines on correct settings when washing items. The correct use of chemicals is monitored by the chemical supply company three monthly and a report is kept at the facility. (The compliance and safety certificate was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an ironing press machine in the laundry and sewing machine for minor repair 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have specific trollies to carry all cleaning items and they are stored in secure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residents and family/whānau confirmed they are very happy with the cleaning and laundry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 is reviewed annually as part of the quality process. This is one of the roles undertaken by the health and safety committee and it last occurred in May 2016. Emergency fire equipment is checked annually by an approved provider (February 2016) and there is an evacuation plan which was approved by the fire service in August 2007. There have been no changes to the facility footprint since this time. Six monthly fire evacuations are undertaken with the last one occurring in May 2016. No follow up actions were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first aid kits, outbreak supplies and a civil defence box. The contents are rotated regularly so that they do not expire.  </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 and include emergency lighting and a gas BBQ and cooking. The service has a process in place for alternate food preparation and delivery should it be required. The medication system can be operated via the emergency power or can convert to manual use if there is a prolonged power cut.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security arrangements involve staff ensuring the doors and windows are locked upon dusk.  There are specific security staff employed from 11pm to 7am who check the grounds and building regularly during these hours. Staff carry cell phones on all shifts to ensure they can contact emergency services should they be required.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 areas. Resident and family/whānau interviews confirmed call bells were answered in an acceptable timeframe. The facility manager monitors response times as part of the quality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at least one opening window which provides natural light and ventilation. The facility has central heating via ceiling vents and heat pumps have been installed in common areas such as the lounge and dining areas to keep the areas cool in summer.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that the facility is maintained at a comfortable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current infection control manual, developed at organisational level.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Residents with a multi drug resistant organism (MDRO) have this clearly detailed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An enrolled nurse is the designated IPC co-ordinator and works with the support of the clinical manager. The role and responsibilities of the IPC coordinator are defined in a job description. Infection control matters, including surveillance results, are reported monthly to the facility manager and tabled six weekly at the infection prevention and control meeting. The infection prevention and control committee includes the infection prevention and control coordinator, clinical manager, a registered nurse, a caregiver, the activities coordinator, a laundry employee and a cleaner.</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are offered an annual influenza vaccination. Thirty five residents and 29 staff received this vaccine in 2016. Staff interviewed understood their responsibilities to prevent the spread of infection. Appropriate personal protective equipment (PPE) is available and observed to be in use. There have been no outbreaks of infection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Compliance with key aspects of policy is monitored via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(IP&amp;CC) has appropriate skills, knowledge and qualifications for the role, and has been in this role for about 18 months. The IP&amp;CC has completed some recent training provided by an infection prevention and control consultant as verified in the training records sighted. If required expert advice can be sought from the community laboratory and/or the general practitioners, and the infection prevention and control team at the local DHB. The coordinator has access to residents` records and diagnostic results to ensure timely treatment and resolution of any infections. The clinical manager is also available on a day to day basis for advice and support.</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confirmed at interview the availability of resources to support the programme and management of any outbreak of an infection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reviewed annually and scheduled throughout the year. All policies scheduled for review year to date have been reviewed. A copy of all the policies are kept in reception for staff to access. Where there is significant change in the content of a policy, or a new policy has been developed, staff are required to read and sign the policy.</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 sanitisers, good handwashing techniques and use of disposable gloves, as appropriate.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education plan includes infection prevention and control. This commences during orientation and has continued in the ongoing education programme. The education planner for 2016 has been implemented. The infection prevention and control coordinator provides education sessions. A record is maintained of all infection control education provided.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included mostly handwashing advice, personal hygiene and the prevention of urinary tract infections. The education is documented in the resident’s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 term care facility. This includes urinary tract infections, wound infections, fungal infections, eye infections, chest infections, Methicillin Resistant Staphylococcus Aureus, and other infections. When an infection is identified a record of this is documented on the infection reporting form, and also detailed on the infection register in the applicable resident’s file. The infection prevention and control coordinator reviews all reported infections and maintains a register including the name of the resident, the type of infection, the results of laboratory investigations (if applicable), the treatment and the outcome.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a display of surveillance data (graphed) in the staff tearoom, and at the time and infection is identified by discussion during staff handover.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infection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at Maygrove Care any form of restraint is a serious intervention and therefore every effort to minimise the use of restraint is made. Restraint it is only applied to enhance or maintain the safety of the resident, staff or others. The use of enablers is voluntary and the least restrictive option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are no enablers and nine residents with approved restraint. One resident has two approved restraints, one is a chair lap belt and the other is bedside rails. The number of restraints in use has decreased since the same time in 2015 when the service had 17 restraints.  </w:t>
            </w:r>
          </w:p>
          <w:p w:rsidR="00EB7645" w:rsidRPr="00BE00C7" w:rsidP="00BE00C7">
            <w:pPr>
              <w:pStyle w:val="OutcomeDescription"/>
              <w:spacing w:before="120" w:after="120"/>
              <w:rPr>
                <w:rFonts w:cs="Arial"/>
                <w:b w:val="0"/>
                <w:lang w:eastAsia="en-NZ"/>
              </w:rPr>
            </w:pPr>
            <w:r w:rsidRPr="00BE00C7">
              <w:rPr>
                <w:rFonts w:cs="Arial"/>
                <w:b w:val="0"/>
                <w:lang w:eastAsia="en-NZ"/>
              </w:rPr>
              <w:t>It was noted that the service call walking frames and walking sticks enablers and family/whanau sign for the use of these items. During discussion with the facility manager/restraint coordinator it was determined that the above mentioned items enhance resident movements and do not restrict them. Therefore, they do not fall under the definition of an enabler.</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environmental restraints which is recorded as the four stairwells and the lift which serve as exits out of the care area. The stairwells are locked with an instant release mechanism button on the wall adjacent to each stairwell to allow quick release of the doors in an emergency. The lift has a code to allow it to operate from the care area to the exit on the ground level. This information is given to family/whanau and the resident upon entry to the service. Resident files contain a signed consent which stated they were fully informed of this prior to entry. Residents were seen coming and going via the lift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approval and process as set out in policy are implemented by the service. There is a restraint committee and the resident, family/whanau and GP are always involved in the decision to apply restraint. This is confirmed in four resident file reviews undertaken for restraint use. At the time of audit, the only restraints in use are bedside rails and chair lap belts.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reviewed if the resident’s condition changes to determine if restraint is still appropriate and/or six monthly during the resident evaluation process. The resident and/or family/whanau sign to say this has been discussed at the six monthly evaluation.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assessment/authorisation form is used to indicate if restraint is required. It covers all aspects of this criterion. If there is an incident related to restraint use a full re-assessment is undertaken and discussions are then held with the restraint committee. Two incidents followed up during audit show that one bedside rail was discontinued when a resident climbed over the top of the bedrail. The second incident involved a resident who was able to get their leg out of the bedside rail. Following a full review this restraint remained in place as the resident has involuntary movements owing to their medical condition. (There were bedside rail protectors in place when the incident occurred. (Both incidents were clearly documented, evaluated and show the outcomes of the review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Approved restraint is only put in place once alternative interventions have been considered. These interventions are documented on the restraint approval forms. All restraint is approved by the restraint committee prior to being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frequency of monitoring is undertaken according to the identified risk to the residents but never less than two hourly. The restraint coordinator determines the monitoring timeframes from the information gathered by assessment and during staff discussion.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restraints are detailed in the restraint register to an auditable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their understanding and knowledge related to safe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 use is discussed at the quality meetings as identified in minutes sighted. The continued use of restraint is part of the resident’s six monthly evaluation of care and this is documented via interRAI, and clearly shown on the resident’s care plan. If restraint is no longer required, it is discontinued. Family/whanau are made aware of any changes in the need for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review restraint procedures six weekly or sooner if required. This is documented in restraint committee meeting minutes. The restraint coordinator (RN) also monitors staff education to ensure staff have up to date knowledge and understanding of safe restraint use. Restraint education occurs during orientation and ongoing at least annually. Restraint education is a compulsory educational subject for Maygrove care unit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Challenging behaviour education occurred in October 2016 and restraint education and questionnaires were completed in July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committee review all restraint processes and usage at each meeting. Trends are shown using quality data which gives comparative data to previous restraint use. Care plans are reviewed twice yearly to ensure restraint use is clearly and correctly documented. If corrective actions are required they are followed up by the restraint coordinator. The policies and procedures and staff educational content are fully reviewed in January each year. This is shown in documentation sighted.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45"/>
        <w:gridCol w:w="1280"/>
        <w:gridCol w:w="7951"/>
        <w:gridCol w:w="1403"/>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initial and long term nursing care plans reflect the support / care needs of each resident, and the outcomes of the integrated assessment process and other relevant clinical information. Short term care plans are not consistently developed when the resident has short term changing care needs including from an infection, or acute exacerbation of pain. For example, one of the residents audited using tracer methodology did not have short term care plans for some of the reported infections in 2016, although appropriate treatment was provided. While staff are managing a resident’s increased pain, a clear plan to guide staff assessment and intervention had not been documented. Short term care plans were not available for two other residents who had been recently treated for an infection. Short term care plans were consistently developed when a resident had a skin tear or wounds in the sampled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and families reported participation in the development and ongoing evaluation of the individual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not consistently developed when residents have changing care needs including infections and episodes of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short term care plans are consistently developed when residents have changing care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reviewed had a documented evaluation that is conducted within the past six months. Evaluations are resident focused and indicate the degree of achievement or response to support interventions and progress towards meeting the desired outcomes. If a resident is not responding to the interventions being delivered, or their health status changes, then this is discussed with the GP. Residents` changing needs are clearly described in the care plans reviewed. Wound assessments were documented on template forms and reviewed at least daily. Neurological observations were undertaken following an unwitnessed fall. Bowel charts were maintained.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used for wound care, changes in food and fluid intake and skin care and/or pressure area care when needed. They are not consistently available for when a resident had an infection or elevated levels of pain (refer to1.3.5.2). One resident is currently having their pain levels evaluated hourly over a 24 hour period as requested by the resident’s general practitioner. However, objective pain assessments are not consistently undertaken before or after three other residents are given additional pain relief, including opioids, for reports of increased pain. This included one of the residents audited using tracer methodology.</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demonstrated good knowledge of short term care plans and reported that these are communicated during handover.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Objective pain assessments are not consistently undertaken when residents are given additional medications for episodes of pain.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pain medication use is evaluated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2813"/>
        <w:gridCol w:w="83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medicine reconciliation, processes when an error occurs as well as use of ‘over the counter` medications and herbal supplements. The sighted policies meet the legislative requirements of best practice and have been updated to reflect changes in practice since the service moved to an electronic medicine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The 14 medicine records randomly reviewed on the electronic system used have been reviewed by the GP at least three monthly. All prescriptions sighted were accurately documented by the GP and checked by the pharmacist. Any allergies/sensitivities are flagged on this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moved to use of an electronic medicine management system in July 2016. Applicable organisation policies and procedures were updated to reflect the new service. Staff, the general practitioners and pharmacy were trained prior to the change. Staff were required to complete an updated medicine competency reflecting the new procedures. Three months after implementation an evaluation has occurred of the new system. Feedback from staff notes the system is user friendly. The prescribers can remotely prescribe or amend medicine records following conversations with the RNs (eg, for a resident with an infection). This has enhanced the timeliness of prescribing occurring and reduced the use of verbal orders. Once the ‘Wi-Fi’ problems related to black zones was addressed the time spent undertaking the medicine rounds has reduced enabling the nurses more time to complete other activities. Further work is planned to optimise ‘Wi-Fi’ coverage within the building. Medicine records are legible and clear. There are no issues reading or interpreting the general practitioner’s orders. The use of the dash board function has allowed at a glance a review to ensure medicine records are reviewed by the general practitioner at least three monthly. Resident refusal of medicines is easily traceable as is the use of pro re nata medicines for discussion at GP reviews and the six monthly care plan reviews. Aspects of this projects evaluation have been communicated to the product supplier via email in order to further improve processes.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Maygrove Care Limited - Maygrove Village</w:t>
    </w:r>
    <w:bookmarkEnd w:id="58"/>
    <w:r>
      <w:rPr>
        <w:rFonts w:cs="Arial"/>
        <w:sz w:val="16"/>
        <w:szCs w:val="20"/>
      </w:rPr>
      <w:tab/>
      <w:t xml:space="preserve">Date of Audit: </w:t>
    </w:r>
    <w:bookmarkStart w:id="59" w:name="AuditStartDate1"/>
    <w:r>
      <w:rPr>
        <w:rFonts w:cs="Arial"/>
        <w:sz w:val="16"/>
        <w:szCs w:val="20"/>
      </w:rPr>
      <w:t>8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