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Radius Residential Care Limited - Radius Baycare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Radius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Radius Baycare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10 October 2016</w:t>
      </w:r>
      <w:bookmarkEnd w:id="7"/>
      <w:r w:rsidRPr="009418D4">
        <w:rPr>
          <w:rFonts w:cs="Arial"/>
        </w:rPr>
        <w:tab/>
        <w:t xml:space="preserve">End date: </w:t>
      </w:r>
      <w:bookmarkStart w:id="8" w:name="AuditEndDate"/>
      <w:r w:rsidR="00A4268A">
        <w:rPr>
          <w:rFonts w:cs="Arial"/>
        </w:rPr>
        <w:t>11 October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The service has converted the 40 beds that are currently used for dedicated hospital level care or dedicated rest home level care to dual-purpose beds.  This means all beds will be dual purpose beds.</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Baycare Home and Hospital is owned and operated by Radius Residential Care Limited and cares for up to 46 residents requiring rest home or hospital level care.  On the day of the audit there were 44 residents.  The service is managed by a registered nurse with experience in aged care management.  She is supported by the Radius regional manager and a clinical manager who is currently working out her notice.  Residents, relatives and the GP interviewed spoke positively about the service provided.</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management and general practitioner.  This audit has also verified 40 current beds across the rest home and hospital as suitable to be dual-purpose beds.  This means all beds will be dual-purpose beds.</w:t>
      </w:r>
    </w:p>
    <w:p w:rsidRPr="00A4268A">
      <w:pPr>
        <w:spacing w:before="240" w:line="276" w:lineRule="auto"/>
        <w:rPr>
          <w:rFonts w:eastAsia="Calibri"/>
        </w:rPr>
      </w:pPr>
      <w:r w:rsidRPr="00A4268A">
        <w:rPr>
          <w:rFonts w:eastAsia="Calibri"/>
        </w:rPr>
        <w:t>The service has exceeded the standard around the activities provided.</w:t>
      </w:r>
    </w:p>
    <w:p w:rsidRPr="00A4268A">
      <w:pPr>
        <w:spacing w:before="240" w:line="276" w:lineRule="auto"/>
        <w:rPr>
          <w:rFonts w:eastAsia="Calibri"/>
        </w:rPr>
      </w:pPr>
      <w:r w:rsidRPr="00A4268A">
        <w:rPr>
          <w:rFonts w:eastAsia="Calibri"/>
        </w:rPr>
        <w:t>This audit has identified areas for improvement around InterRAI assessments related to access to training and documentation of interventions in care plans.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Policies and procedures adhere with the requirements of the Code of Health and Disability Services Consumers’ Rights (the Code).  Residents and families are informed regarding the Code and staff receive ongoing training about the Code.  </w:t>
      </w:r>
    </w:p>
    <w:p w:rsidRPr="00A4268A">
      <w:pPr>
        <w:spacing w:before="240" w:line="276" w:lineRule="auto"/>
        <w:rPr>
          <w:rFonts w:eastAsia="Calibri"/>
        </w:rPr>
      </w:pPr>
      <w:r w:rsidRPr="00A4268A">
        <w:rPr>
          <w:rFonts w:eastAsia="Calibri"/>
        </w:rPr>
        <w:t>The personal privacy and values of residents are respected.  There is an established Māori health plan in place.  Individual care plans reference the cultural needs of residents.  Discussions with residents and relatives confirmed that residents and where appropriate, their families are involved in care decisions.  Regular contact is maintained with families including if a resident is involved in an incident or has a change in their current health.  Families and friends are able to visit residents at times that meet their needs.  Examples of good practice were provided.</w:t>
      </w:r>
    </w:p>
    <w:p w:rsidRPr="00A4268A">
      <w:pPr>
        <w:spacing w:before="240" w:line="276" w:lineRule="auto"/>
        <w:rPr>
          <w:rFonts w:eastAsia="Calibri"/>
        </w:rPr>
      </w:pPr>
      <w:r w:rsidRPr="00A4268A">
        <w:rPr>
          <w:rFonts w:eastAsia="Calibri"/>
        </w:rPr>
        <w:t xml:space="preserve">There is an established system for the management of complaints, which meets guidelines established by the Health and Disability Commissioner.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facility manager and clinical manager are responsible for the day-to-day operations.  Goals are documented for the service with evidence of regular reviews.  A quality and risk management programme is embedded.  Corrective actions are implemented and evaluated where opportunities for improvements are identified.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An orientation programme is in place for new staff.  Ongoing education and training is in place, which includes in-service education and competency assessments.</w:t>
      </w:r>
    </w:p>
    <w:p w:rsidRPr="00A4268A">
      <w:pPr>
        <w:spacing w:before="240" w:line="276" w:lineRule="auto"/>
        <w:rPr>
          <w:rFonts w:eastAsia="Calibri"/>
        </w:rPr>
      </w:pPr>
      <w:r w:rsidRPr="00A4268A">
        <w:rPr>
          <w:rFonts w:eastAsia="Calibri"/>
        </w:rPr>
        <w:t xml:space="preserve">Registered nursing cover is provided 24 hours a day, seven days a week.  Residents and families report that staffing levels are adequate to meet the needs of the residents.  </w:t>
      </w:r>
    </w:p>
    <w:p w:rsidRPr="00A4268A">
      <w:pPr>
        <w:spacing w:before="240" w:line="276" w:lineRule="auto"/>
        <w:rPr>
          <w:rFonts w:eastAsia="Calibri"/>
        </w:rPr>
      </w:pPr>
      <w:r w:rsidRPr="00A4268A">
        <w:rPr>
          <w:rFonts w:eastAsia="Calibri"/>
        </w:rPr>
        <w:t>The integrated residents’ files are appropriate to the service type.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Entry to the service is managed primarily by the facility manager/registered nurse.  There is comprehensive service information available.  Initial assessments are completed by a registered nurse.  Care plans and evaluations have been completed by the registered nurses within the required timeframe.  Care plans reviewed were written in a way that enables all staff to clearly follow their instructions.  Residents and family interviewed confirmed they were involved in the care planning and review process. </w:t>
      </w:r>
    </w:p>
    <w:p w:rsidRPr="00A4268A" w:rsidP="00621629">
      <w:pPr>
        <w:spacing w:before="240" w:line="276" w:lineRule="auto"/>
        <w:rPr>
          <w:rFonts w:eastAsia="Calibri"/>
        </w:rPr>
      </w:pPr>
      <w:r w:rsidRPr="00A4268A">
        <w:rPr>
          <w:rFonts w:eastAsia="Calibri"/>
        </w:rPr>
        <w:t xml:space="preserve">The activity programme is varied and interesting and includes outings, entertainment and links with the community and schools.  Each resident has an individual activity plan.  </w:t>
      </w:r>
    </w:p>
    <w:p w:rsidRPr="00A4268A" w:rsidP="00621629">
      <w:pPr>
        <w:spacing w:before="240" w:line="276" w:lineRule="auto"/>
        <w:rPr>
          <w:rFonts w:eastAsia="Calibri"/>
        </w:rPr>
      </w:pPr>
      <w:r w:rsidRPr="00A4268A">
        <w:rPr>
          <w:rFonts w:eastAsia="Calibri"/>
        </w:rPr>
        <w:t xml:space="preserve">Medication is stored appropriately in line with legislation and guidelines.  Staff have had education around medication management and all staff who administer medications have completed a competency assessment.  Medications are prescribed and administered in line with appropriate guidelines and regulations.  </w:t>
      </w:r>
    </w:p>
    <w:p w:rsidRPr="00A4268A" w:rsidP="00621629">
      <w:pPr>
        <w:spacing w:before="240" w:line="276" w:lineRule="auto"/>
        <w:rPr>
          <w:rFonts w:eastAsia="Calibri"/>
        </w:rPr>
      </w:pPr>
      <w:r w:rsidRPr="00A4268A">
        <w:rPr>
          <w:rFonts w:eastAsia="Calibri"/>
        </w:rPr>
        <w:t xml:space="preserve">Meals are prepared on site.  The menu is varied and appropriate.  Individual and special dietary needs are catered for.  Alternative options are able to be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There is an ongoing maintenance plan.  Chemicals are stored safely throughout the facility.  All except one bedroom are single occupancy with hand basins and toilet ensuites.  There are sufficient numbers of communal showers and toilets.  Resident rooms are all large enough to cater for hospital level residents including the staff and equipment required for them.  There are sufficient communal showers and toilets that are large enough to cater for hospital level.  There is sufficient space to allow the movement of residents around the facility using mobility aids.  There are lounge and dining areas throughout the facility.  The internal areas are able to be ventilated and heated.  The outdoor areas are safe and easily accessible.  Cleaning and maintenance staff are providing appropriate services.  There is an emergency management plan in place and adequate civil defence supplies in the event of an emergency.  There is an approved evacuation scheme and emergency supplies for at least three days.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Staff receive training around restraint minimisation and the management of challenging behaviour.  The service has appropriate procedures and documents for the safe assessment, planning, monitoring and review of restraint and enablers.  A register is maintained by the restraint coordinator.  During the audit, six residents were using restraints and one resident was using an enabler.  Staff regularly receive education and training in restraint minimisation and managing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also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There have been no reportable outbreaks since the previous audit.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1</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1</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05"/>
        <w:gridCol w:w="1280"/>
        <w:gridCol w:w="965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Baycare policies and procedures are being implemented that align with the requirements of the Code of Health and Disability Services Consumers’ Rights (the Code).  Families and residents are provided with information on admission which includes information about the Code.  Staff receive training about resident rights at orientation and as part of the annual in-service programme.  Interviews with care staff (four healthcare assistants (HCAs) who work across the rest home and hospital on the am, pm and night shifts; two registered nurses (RNs); and one enrolled nurse (EN)) confirmed their understanding of the Code.  Ten residents (six rest home and four hospital level) and five relatives (one hospital level and four rest home level) interviewed, confirmed that staff respect privacy, and support residents in making choices.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Written consents are signed by the resident or their enduring power of attorney (EPOA).  Advanced directives are signed for separately.  There is evidence of discussion with family when the GP completed a clinically indicated not for resuscitation order.  Healthcare assistants and registered nurses interviewed confirmed verbal consent is obtained when delivering care.  Discussion with family members identified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Seven of seven resident files sampled (three rest home including one resident under long-term chronic health condition contract and four hospital, including one younger person) had a signed admission agreement and consents.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they are aware of their right to access independent advocacy services.  Discussions with relatives confirmed the service provided opportunities for the family/EPOA to be involved in decisions.  The resident files include information on residents’ family/whānau and chosen social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confirmed open visiting.  Visitors were observed coming and going during the audit.  The activities programme includes opportunities to attend events outside of the facility.  Residents are supported and encouraged to remain involved in the community.  Relatives and friends are encouraged to be involved with the service and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available.  Information about complaints is provided on admission.  Interviews with all residents and relatives confirmed their understanding of the complaints process.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register that includes written and verbal complaints, dates and actions taken.  Complaints sighted (all for 2016) were being managed in a timely manner, meeting requirements determined by the Health and Disability Commissioner (HDC).  There is evidence of lodged complaints being discussed in RN and staff meetings.  All complaints received have been documented as resolved with appropriate corrective actions implemented.  This includes one complaint lodged with the district health board.  When trends have been identified around complaints, comprehensive corrective action plans have been developed and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information pack given to prospective residents and families that includes information about the Code and the nationwide advocacy service.  There is the opportunity to discuss aspects of the Code during the admission process.  Residents and relatives interviewed confirmed that information had been provided to them around the Code.  Large print posters of the Code and advocacy information are displayed throughout the facility.  A manager discusses the information pack with residents/relatives on admission.  Families and residents are informed of the scope of services and any liability for payment for items not included in the scope.  This is included in the service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tour of the premises confirmed there are areas that support personal privacy for residents.  During the audit, staff were observed to be respectful of residents’ privacy by knocking on doors prior to entering resident rooms.  Staff could describe definitions around abuse and neglect that aligned with policy.  An annual resident satisfaction survey was completed in 2016 and the results showed that overall resident experience was reported as being good or very good by the vast majority of respondents.  Residents and relatives interviewed confirmed that staff treat residents with respect.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philosophy that promotes quality of life and involves residents in decisions about their care.  Resident preferences are identified during the admission and care planning process and this includes family involvement.  Interviews with residents confirmed their values and beliefs were considered.  Interviews with HCAs described how choice is incorporated into resident cares.  </w:t>
            </w:r>
          </w:p>
          <w:p w:rsidR="00EB7645" w:rsidRPr="00BE00C7" w:rsidP="00BE00C7">
            <w:pPr>
              <w:pStyle w:val="OutcomeDescription"/>
              <w:spacing w:before="120" w:after="120"/>
              <w:rPr>
                <w:rFonts w:cs="Arial"/>
                <w:b w:val="0"/>
                <w:lang w:eastAsia="en-NZ"/>
              </w:rPr>
            </w:pPr>
            <w:r w:rsidRPr="00BE00C7">
              <w:rPr>
                <w:rFonts w:cs="Arial"/>
                <w:b w:val="0"/>
                <w:lang w:eastAsia="en-NZ"/>
              </w:rPr>
              <w:t>Staff have received regular training around abuse and neglect and a comprehensive corrective action (a plan was implemented following complaints with allegations of verbal abuse).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Māori health plan policy for the organisation references local Māori healthcare providers regionally within New Zealand and provides recognition of Māori values and beliefs.  Family/whānau involvement is encouraged in assessment and care planning, and visiting is encouraged.  Links are established with disability and other community representative groups as requested by the resident/family.  At the time of audit there were six residents who identified as Māori and two interviewed confirmed their cultural needs were being met by the service.  A resident group has been practicing poi waiata after being taught by local school children.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whānau as appropriate, are invited to be involved.  Individual beliefs or values are discussed and incorporated into the care plan.  Six monthly multi-disciplinary team meetings occur to assess if needs are being met.  Family are invited to attend.  Discussions with relatives confirmed that residents’ values and beliefs are considered.  Residents interviewed confirmed that staff take into account their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The monthly staff meetings include discussions around professional boundaries and concerns as they arise.  The January 2016 staff meeting included specific discussion around bullying and harassment.  Management provided guidelines and examples of mentoring for specific situations.  Interviews with the managers and care staff confirmed their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aligned with current accepted best practice.  The content of policy and procedures are sufficiently detailed to allow effective implementation by staff.  </w:t>
            </w:r>
          </w:p>
          <w:p w:rsidR="00EB7645" w:rsidRPr="00BE00C7" w:rsidP="00BE00C7">
            <w:pPr>
              <w:pStyle w:val="OutcomeDescription"/>
              <w:spacing w:before="120" w:after="120"/>
              <w:rPr>
                <w:rFonts w:cs="Arial"/>
                <w:b w:val="0"/>
                <w:lang w:eastAsia="en-NZ"/>
              </w:rPr>
            </w:pPr>
            <w:r w:rsidRPr="00BE00C7">
              <w:rPr>
                <w:rFonts w:cs="Arial"/>
                <w:b w:val="0"/>
                <w:lang w:eastAsia="en-NZ"/>
              </w:rPr>
              <w:t>Examples of good practice at Radius Baycare include:</w:t>
            </w:r>
          </w:p>
          <w:p w:rsidR="00EB7645" w:rsidRPr="00BE00C7" w:rsidP="00BE00C7">
            <w:pPr>
              <w:pStyle w:val="OutcomeDescription"/>
              <w:spacing w:before="120" w:after="120"/>
              <w:rPr>
                <w:rFonts w:cs="Arial"/>
                <w:b w:val="0"/>
                <w:lang w:eastAsia="en-NZ"/>
              </w:rPr>
            </w:pPr>
            <w:r w:rsidRPr="00BE00C7">
              <w:rPr>
                <w:rFonts w:cs="Arial"/>
                <w:b w:val="0"/>
                <w:lang w:eastAsia="en-NZ"/>
              </w:rPr>
              <w:t>Residents’ falls are analysed in detail.  The service has been part of the 'do no harm' project.  Positive outcomes have been identified by the service as a result of the utilisation of knowledge.  Outcomes for the service are monitored with benchmarking across all Radius facilities and with other facilities through the DHB (eg, through the 'do no harm' project around falls).  Feedback is provided to staff via the various meetings.  The number of residents having falls has decreased.  The service is actively working on an individual resident basis and a facility-wide approach following the admission of high risk of falls residents in the latter half of 2016.</w:t>
            </w:r>
          </w:p>
          <w:p w:rsidR="00EB7645" w:rsidRPr="00BE00C7" w:rsidP="00BE00C7">
            <w:pPr>
              <w:pStyle w:val="OutcomeDescription"/>
              <w:spacing w:before="120" w:after="120"/>
              <w:rPr>
                <w:rFonts w:cs="Arial"/>
                <w:b w:val="0"/>
                <w:lang w:eastAsia="en-NZ"/>
              </w:rPr>
            </w:pPr>
            <w:r w:rsidRPr="00BE00C7">
              <w:rPr>
                <w:rFonts w:cs="Arial"/>
                <w:b w:val="0"/>
                <w:lang w:eastAsia="en-NZ"/>
              </w:rPr>
              <w:t>The service actively analyses infection surveillance data to reduce infections in residents.  A large number of residents with identified influenza reflective of influenza in the community was managed with input from the DHB and public health in a proactive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Improvements in the activities programme (link CI 1.3.7.1) have resulted in the service having established a close relationship with a local primary school, Pakaraka Primary, with visits to the school and the students visiting the residents at Baycare.  The residents become more involved in the community by knitting booties and beanies for the local birthing centre and residents interviewed spoke positively about this project.  Each new born at the local hospital receives a set of booties and matching beanie knitted by Baycare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accident/incident reporting policy to guide staff in their responsibility around open disclosure.  Staff are required to record family notification when entering an incident into the system.  All 14 adverse events reviewed met this requirement unless the family had specifically requested for this not to occur.  Family members interviewed confirmed they are notified following a change of health status of their family member.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operates an open door policy and residents and relatives spoke of talking to her about any issue and her being an active listener.  Regular newsletters are also produced.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interpreter policy in place and contact details of interpreters were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Baycare Home and Hospital is a Radius aged care facility located in Whangarei.  The facility is certified to provide rest home and hospital level care for up to 46 residents.  At the time of the audit, 15 beds were dedicated to rest home level of care only.  There are six additional dual-purpose beds.  This audit has also assessed the 40 beds across the hospital and rest home level care as suitable to be dual-purpose beds.  This means all beds will be dual-purpose beds.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Forty four residents were living at the facility during this audit.  Forty-two residents were on the Aged Related Care contract (nineteen rest home level and twenty-three residents hospital level, one (rest home level) resident was on the Long Term Chronic Conditions contract (LTCC) and one (hospital level) resident on the YPD contract.  </w:t>
            </w:r>
          </w:p>
          <w:p w:rsidR="00EB7645" w:rsidRPr="00BE00C7" w:rsidP="00BE00C7">
            <w:pPr>
              <w:pStyle w:val="OutcomeDescription"/>
              <w:spacing w:before="120" w:after="120"/>
              <w:rPr>
                <w:rFonts w:cs="Arial"/>
                <w:b w:val="0"/>
                <w:lang w:eastAsia="en-NZ"/>
              </w:rPr>
            </w:pPr>
            <w:r w:rsidRPr="00BE00C7">
              <w:rPr>
                <w:rFonts w:cs="Arial"/>
                <w:b w:val="0"/>
                <w:lang w:eastAsia="en-NZ"/>
              </w:rPr>
              <w:t>The 2014 - 2017 business plan describes the vision, values and objectives of Radius Baycare Home and Hospital.  Annual goals are linked to the business plan and reflect regular reviews via regular meetings and monthly reports to the regional manager.  When an issue has been identified it is added as a specific short-term goal within the business plan during reviews.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a registered nurse with many years’ experience in aged care management.  She has been in the role since January 2011, having been working in aged care since 1991 and previously had experience as a clinical manager.  She is supported by a regional manager and clinical manager.  The clinical manager has recently resigned and is currently working out a notice period.  The service is actively recruiting a replacement.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has maintained at least eight hours of professional development activities related to managing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manager/RN covers during the temporary absence of the facility manager.  The regional manager or facility managers of other Radius facilities in Northland are also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established quality and risk management system is embedded into practice.  Quality and risk performance is reported across facility meetings and to the regional manager.  Discussions with the managers (regional manager and facility manager), the GP, and staff reflected staff involvement in quality and risk management processes.</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monthly.  Minutes are maintained.  Annual resident and relative surveys are completed with results communicated to residents and staff.  Survey results reflect high levels of satisfaction.</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The service's policies are reviewed at a national level by the clinical managers group with input from facility staff every two years.  Clinical guidelines are in place to assist care staff.  Updates to policies included procedures around the implementation of InterRAI.</w:t>
            </w:r>
          </w:p>
          <w:p w:rsidR="00EB7645" w:rsidRPr="00BE00C7" w:rsidP="00BE00C7">
            <w:pPr>
              <w:pStyle w:val="OutcomeDescription"/>
              <w:spacing w:before="120" w:after="120"/>
              <w:rPr>
                <w:rFonts w:cs="Arial"/>
                <w:b w:val="0"/>
                <w:lang w:eastAsia="en-NZ"/>
              </w:rPr>
            </w:pPr>
            <w:r w:rsidRPr="00BE00C7">
              <w:rPr>
                <w:rFonts w:cs="Arial"/>
                <w:b w:val="0"/>
                <w:lang w:eastAsia="en-NZ"/>
              </w:rPr>
              <w:t>The quality monitoring programme is designed to monitor contractual and standards compliance and the quality of service delivery in the facility and across the organisation.  There are clear guidelines and templates for reporting.  The facility has implemented established processes to collect, analyse and evaluate data, which is utilised for service improvements to a standard that exceeds the requirements.  Results are communicated to staff across a variety of meetings and reflected actions being implemented and signed off when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by the health and safety committee.  The health and safety representative interviewed confirmed their understanding of health and safety processes.  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service and staff so that improvements are made.  Radius has achieved tertiary level ACC Workplace Safety Management Practice.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in place.  Falls are responded to on both a group and an individual basis (link 1.3.6.1).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incident/accident reporting policy that includes definitions, and outlines responsibilities including immediate action, reporting, monitoring, corrective action to minimise and debriefing.  Individual incident/accident reports are completed for each incident/accident with immediate action noted and any follow-up action required. </w:t>
            </w:r>
          </w:p>
          <w:p w:rsidR="00EB7645" w:rsidRPr="00BE00C7" w:rsidP="00BE00C7">
            <w:pPr>
              <w:pStyle w:val="OutcomeDescription"/>
              <w:spacing w:before="120" w:after="120"/>
              <w:rPr>
                <w:rFonts w:cs="Arial"/>
                <w:b w:val="0"/>
                <w:lang w:eastAsia="en-NZ"/>
              </w:rPr>
            </w:pPr>
            <w:r w:rsidRPr="00BE00C7">
              <w:rPr>
                <w:rFonts w:cs="Arial"/>
                <w:b w:val="0"/>
                <w:lang w:eastAsia="en-NZ"/>
              </w:rPr>
              <w:t>A review of 14 incident/accident forms identified that forms are fully completed and include follow-up by a registered nurse.  Neurological observations are done two hourly for any suspected injury to the head.  The clinical manager or facility manager, (both RNs), are involved in the adverse event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was able to identify situations that would be reported to statutory authorities including (but not limited to) infectious diseases; serious accidents; and unexpected death.  One appropriate section 31 notification has been made.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Negligible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Seven staff files reviewed (two registered nurses, two healthcare assistants, a cook, an activities staff member and a housekeeping staff member) included a comprehensive recruitment process which included reference checking, signed employment contracts and job descriptions; police checks; completed orientation programmes and annual performance appraisals.</w:t>
            </w:r>
          </w:p>
          <w:p w:rsidR="00EB7645" w:rsidRPr="00BE00C7" w:rsidP="00BE00C7">
            <w:pPr>
              <w:pStyle w:val="OutcomeDescription"/>
              <w:spacing w:before="120" w:after="120"/>
              <w:rPr>
                <w:rFonts w:cs="Arial"/>
                <w:b w:val="0"/>
                <w:lang w:eastAsia="en-NZ"/>
              </w:rPr>
            </w:pPr>
            <w:r w:rsidRPr="00BE00C7">
              <w:rPr>
                <w:rFonts w:cs="Arial"/>
                <w:b w:val="0"/>
                <w:lang w:eastAsia="en-NZ"/>
              </w:rPr>
              <w:t>A register of registered nursing staff and other health practitioner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The orientation programme provides new staff with relevant information for safe work practice.  There is an implemented annual education and training plan that exceeds eight hours annually.  The facility manager holds overall responsibility for staff education.  There is an attendance register for each training session and an individual staff member record of training.  There are insufficient RNs trained in InterRAI (one registered nurse is trained) to meet contractual obligations around these.  Training has been difficult for the service to access.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supported to maintain their professional competency.  There are implemented competencies for registered nurses including (but not limited to) medication competencies and insulin competencies.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is in place for determining staffing levels and skills mix for safe service delivery.  Rosters implement the staffing rationale.  There is a minimum of one RN on site at any time.  The building is on one floor and has a nurses’ station that is centrally positioned.  Radius uses a staffing hour’s calculator and as ratios of rest home to hospital level residents change the service will use this tool to ensure that staffing meets the needs of current residents.  Activities are provided five days a week.</w:t>
            </w:r>
          </w:p>
          <w:p w:rsidR="00EB7645" w:rsidRPr="00BE00C7" w:rsidP="00BE00C7">
            <w:pPr>
              <w:pStyle w:val="OutcomeDescription"/>
              <w:spacing w:before="120" w:after="120"/>
              <w:rPr>
                <w:rFonts w:cs="Arial"/>
                <w:b w:val="0"/>
                <w:lang w:eastAsia="en-NZ"/>
              </w:rPr>
            </w:pPr>
            <w:r w:rsidRPr="00BE00C7">
              <w:rPr>
                <w:rFonts w:cs="Arial"/>
                <w:b w:val="0"/>
                <w:lang w:eastAsia="en-NZ"/>
              </w:rPr>
              <w:t>Staff working on the days of the audit were visible and were attending to call bells in a timely manner as confirmed by all residents interviewed.  Staff interviewed stated that overall the staffing levels are satisfactory and that the managers provide good support.  Residents and family members interviewed report there are sufficient staff numbers.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have all relevant initial information recorded within 24 hours of entry into the resident’s individual record.  Information containing personal resident information is kept confidential and cannot be viewed by other residents or members of the public.  Resident files are protected from unauthorised access.  Entries are legible, dated and signed by the relevant HCA or nurse including designation.  Individual resident files demonstrate service integration.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admission policies and processes in place.  Residents receive an information pack outlining services able to be provided, the admission process and entry to the service.  The facility manager/registered nurse or clinical manager screens all potential residents prior to entry and records all admission enquires.  Residents and relatives interviewed confirmed they received information prior to admission and had the opportunity to discuss the admission agreement with the facility manager.  The admission agreement aligns with the requirements of the ARCC.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to ensure the discharge of residents occurs correctly.  Residents who require emergency admissions to hospital are managed appropriately and relevant information is communicated to the DHB.  The service ensures appropriate transfer of information occurs.  Relatives interviewed confirmed they were kept well informed about all matters pertaining to residents, especially if there is a change in the resident's condition.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policies and procedures comply with medication legislation and guidelines.  Registered nurses and enrolled nurses administer medications and have completed annual competencies and education.  Healthcare assistants complete competencies for the checking of medications.  Medications are checked against the medication charts on delivery by the RNs.  Medicines are appropriately stored in accordance with relevant guidelines and legislation.  Six (one hospital and five rest home) residents who self-administer medicines have current competency assessments that have been reviewed three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Fourteen medication records sampled (eight hospital and six rest home) met prescribing requirements and had been reviewed by the GPs at least three monthly.  Medication prescribed is signed as administered on the pharmacy generated signing chart.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fully functional kitchen and all food is cooked on site.  There is a food services manual in place to guide staff.  The cooks and kitchenhands have completed food safety units and on-line chemical safety.  The menus are changed every six weeks and have been reviewed by a dietitian, last in May 2016.  The food is transported in hot boxes to the kitchenettes where food is served from bain-maries.  A resident nutritional profile is developed for each resident on admission and provided to the kitchen staff.  The cook is notified of any changes to residents’ dietary requirements.  Resident dislikes are known and accommodated.  Specials diets accommodated include gluten free, vegetarian, diabetic desserts and modified/pureed diets.  The kitchen is able to meet the needs of residents who require special diets and the kitchen manager works closely with the RNs on duty.  The temperatures of refrigerators, freezers, dishwasher and end cooked foods are monitored and recorded daily.  There is special equipment available for residents if required.  All food is stored appropriately and dated.  Chemicals are stored in a locked cupboard.  A cleaning schedule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Residents and the family members interviewed were satisfied with the quality and variety of food served.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reasons for declining service entry to potential residents should this occur and communicates this decision to residents/family/whānau.  Anyone declined entry is referred back to the referring agency for appropriate placement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appropriate personal needs information is gathered during admission in consultation with the resident and their relative where appropriate.  Appropriate assessment tools (paper based) were completed and assessments were reviewed at least six monthly or when there was a change to a resident’s health condition in files sampled.  Care plans reviewed were developed on the outcomes of these assessments.  InterRAI assessments had been completed for new residents within 21 days.  The service has not yet embedded the use of the InterRAI assessment tool for six monthly reviews (link 1.2.7.5).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long-term care plans reviewed described the support required to meet the resident’s goals as identified by the ongoing assessment process and needs with two exceptions.  Allied health involvement was linked to the long-term care plans.  Residents and their family/whānau confirm they are involved in the care planning and review process.  Care plans evidence resident/relative involvement in care planning and reviews.  Short-term care plans were in use for changes in health status.  Staff interviewed reported they found the plans easy to follow.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and HCAs follow the detailed and regularly updated care plans and report progress against the care plan each shift.  If a resident’s health status changes the RN initiates a GP or nurse specialist review.  Relatives interviewed state they are contacted for any changes in the resident’s health. </w:t>
            </w:r>
          </w:p>
          <w:p w:rsidR="00EB7645" w:rsidRPr="00BE00C7" w:rsidP="00BE00C7">
            <w:pPr>
              <w:pStyle w:val="OutcomeDescription"/>
              <w:spacing w:before="120" w:after="120"/>
              <w:rPr>
                <w:rFonts w:cs="Arial"/>
                <w:b w:val="0"/>
                <w:lang w:eastAsia="en-NZ"/>
              </w:rPr>
            </w:pPr>
            <w:r w:rsidRPr="00BE00C7">
              <w:rPr>
                <w:rFonts w:cs="Arial"/>
                <w:b w:val="0"/>
                <w:lang w:eastAsia="en-NZ"/>
              </w:rPr>
              <w:t>Staff have access to sufficient medical supplies including dressings.  Wound assessments and care plans, wound review plans and evaluation notes were in place for nine residents with wounds (six minor wounds, one surgical wound and one facility acquired stage-three pressure injury of the sacrum).  RNs have access to specialist nursing wound care management advice through the district nursing service.</w:t>
            </w:r>
          </w:p>
          <w:p w:rsidR="00EB7645" w:rsidRPr="00BE00C7" w:rsidP="00BE00C7">
            <w:pPr>
              <w:pStyle w:val="OutcomeDescription"/>
              <w:spacing w:before="120" w:after="120"/>
              <w:rPr>
                <w:rFonts w:cs="Arial"/>
                <w:b w:val="0"/>
                <w:lang w:eastAsia="en-NZ"/>
              </w:rPr>
            </w:pPr>
            <w:r w:rsidRPr="00BE00C7">
              <w:rPr>
                <w:rFonts w:cs="Arial"/>
                <w:b w:val="0"/>
                <w:lang w:eastAsia="en-NZ"/>
              </w:rPr>
              <w:t>Sufficient continence products are available and resident files include a continence assessment and plan.  Specialist continence advice is available as needed and this could be described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completed and reviewed, for example, turning charts, food and fluid charts, behaviour, blood sugar levels and neurological observations and demonstrate interventions to meet resident’s needs, however a shortfall was identified around falls prevention and diabetic management (link 1.3.5.2).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activities coordinator is employed 30 hours per week full time to coordinate and implement an activities programme Monday to Friday 8.30am to 3.00pm for all residents.  Each resident is free to choose whether they wish to participate in the group activities programme or their individual plan.  Participation is monitored.  One-on-one time is spent with residents who choose not or unable to participate in group activities.  Group activities are integrated and occur in both lounges and the dining room.  Entertainers and guest speakers visit the home.  Weekly interdenominational church services are held.  Group activities reflect ordinary patterns of life and include planned visits to the community, including a seniors group and stroke club afternoons.  The activity programme was reviewed with a goal to involve the residents in planning of activities and include the wider community.  The required standard has been exceeded in this area.</w:t>
            </w:r>
          </w:p>
          <w:p w:rsidR="00EB7645" w:rsidRPr="00BE00C7" w:rsidP="00BE00C7">
            <w:pPr>
              <w:pStyle w:val="OutcomeDescription"/>
              <w:spacing w:before="120" w:after="120"/>
              <w:rPr>
                <w:rFonts w:cs="Arial"/>
                <w:b w:val="0"/>
                <w:lang w:eastAsia="en-NZ"/>
              </w:rPr>
            </w:pPr>
            <w:r w:rsidRPr="00BE00C7">
              <w:rPr>
                <w:rFonts w:cs="Arial"/>
                <w:b w:val="0"/>
                <w:lang w:eastAsia="en-NZ"/>
              </w:rPr>
              <w:t>All resident files reviewed have a history profile and activity plan that is evaluated at least six monthly.  Residents and families interviewed commented positively on the activity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files reviewed, the long-term care plan was evaluated at least six monthly or earlier if there is a change in health status.  There is at least a three monthly review by the GP.  Written evaluations identify if the resident/relative goals are met or unmet.  Short-term care plans reviewed were evaluated and resolved or added to the long-term care plan if the problem is ongoing as sighted in resident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medical and non-medical services.  Referral documentation is maintained on resident files.  The nurses initiate referrals to nurse specialists and allied health services.  Other specialist referrals are made by the GPs and responded to in a timely manner.  Referrals and options for care were discussed with the family as evidenced in interviews and medical notes.  The staff provided examples of where a resident’s condition had changed and the resident was reassessed.  Examples of close liaison with dietitians, physiotherapists, mental health staff and social workers were sighted in resident files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in place to guide staff in waste management.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and stored safely throughout the facility.  Safety datasheets are available.  Staff have completed on-line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which expires 31 May 2017.  There is a full-time maintenance manager employed to address the reactive and planned maintenance programme.  All bedrooms (except five) have been fully refurbished including new flooring.  New chairs have been purchased for the activities lounge.  All medical and electrical equipment has been serviced and/or calibrated.  Hot water temperatures are monitored at least monthly and maintained below 45 degrees Celsius.  Essential contractors are available 24 hours.  </w:t>
            </w:r>
          </w:p>
          <w:p w:rsidR="00EB7645" w:rsidRPr="00BE00C7" w:rsidP="00BE00C7">
            <w:pPr>
              <w:pStyle w:val="OutcomeDescription"/>
              <w:spacing w:before="120" w:after="120"/>
              <w:rPr>
                <w:rFonts w:cs="Arial"/>
                <w:b w:val="0"/>
                <w:lang w:eastAsia="en-NZ"/>
              </w:rPr>
            </w:pPr>
            <w:r w:rsidRPr="00BE00C7">
              <w:rPr>
                <w:rFonts w:cs="Arial"/>
                <w:b w:val="0"/>
                <w:lang w:eastAsia="en-NZ"/>
              </w:rPr>
              <w:t>All rooms are large enough to cater for hospital level residents and the equipment and staff required to ensure their needs are met.  There are sufficient large bathroom areas and lounge and dining spaces to cater for hospital level residents and there is sufficient equipment including (but not limited to) hoists, air mattresses, electric beds and a shower trolley to cater for the extra hospital level residents when all rooms are dual-purpose.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sufficient space for residents to mobilise using mobility aids.  The external area is well maintained.  Residents have access to safely designed external areas that have seating and shade.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stated they had sufficient equipment to safely deliver the cares as outlined in the resident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have toilets and hand basins.  There are four bedrooms with full ensuites.  There are adequate numbers of shower rooms including a large shower room which can accommodate a shower trolley if required and sufficient large shower/toilets to cater for the potential increased number of hospital level residents when all rooms are dual-purpose.  Toilets and showers have privacy systems in place.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44 single rooms and one double room.  All resident’s rooms including 16 rest home rooms, are of an appropriate size to allow rest home or hospital level of care.  This includes sufficient room for specialist equipment such as hoists and fall out chairs and at least two carers if required.  There is sufficient space for the safe use and manoeuvring of mobility aids including those required by hospital level care residents.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rest home dining room and lounge, which are used by more independent residents at both hospital and rest home level care and a hospital dining room and lounge, which are used for more dependant residents.  Dining and lounge areas are large enough to cater for the potential hospital level residents when all rooms are dual-purpose.  There are seating alcoves within the facility.  The communal areas are easily and safely accessible for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cleaned by dedicated cleaning staff.  They have access to a range of chemicals, cleaning equipment and protective clothing.  The standard of cleanliness is monitored through the internal audit programme and through the chemical provider who visits monthly.  Cleaning trolleys are kept in locked areas when not in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designated laundry worker seven days a week.  The laundry has an entry and exit door with defined clean and dirty areas of the laundry.  Residents and relatives interviewed were satisfied with the standard of cleanliness in the facility and the laundry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disaster manuals to guide staff in managing emergencies and disasters.  There is a minimum of one first aid trained staff member on every shift and during outings.  The facility has an approved fire evacuation plan.  Fire drills take place every six months.  Smoke alarms, sprinkler system and exit signs are in place.  Gas barbeques and torches are available in the event of a power failure.  Emergency lighting is in place which is regularly tested.  A civil defence kit is in place.  Supplies of stored water and food are held on site and are adequate for three days.  Electronic call bells are evident in resident’s rooms, lounge areas, and toilets/bathrooms.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kept locked from dusk to dawn.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all resident rooms are appropriately heated and ventilated.  All rooms have external windows that open allowing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Baycare Home and Hospital has an established infection control programme.  The infection control programme, its content and detail, is appropriate for the size, complexity and degree of risk associated with the service.  It is linked into the quality system and the Radius KPIs.  A registered nurse is the designated infection control nurse with support from the facility manager, clinical manager and the quality management committee (infection control team).  Minutes are available for staff.  Audits have been conducted and include hand hygiene and infection control practices.  Education is provided for all new staff on orientation.  The Radius infection control programme was last reviewed in July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at Baycare Home and Hospital is the designated infection control (IC) nurse.  There are adequate resources to implement the infection control programme for the size and complexity of the organisation.  The IC nurse and IC team (comprising the quality management team and care staff) has good external support from the local laboratory infection control team and IC nurse specialist at the DHB.  The infection control team is representative of the facility.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Radius infection control policies and procedures appropriate for the size and complexity of the service.  The infection control manual outlines a comprehensive range of policies, standards and guidelines and includes defining roles, responsibilities and oversight, the infection control team and training and education of staff.  The policies were developed by the Radius clinical management team and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The infection control nurse has completed infection control training.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Radius’ infection control manual.  Monthly infection data is collected for all infections based on signs and symptoms of infection.  An individual resident infection form is completed which includes signs and symptoms of infection, treatment, follow-up, review and resolution.  Short-term care plans are used.  Surveillance of all infections is entered onto a monthly infection summary.  This data is monitored and evaluated monthly and annually and provided to Radius head office.  Infections are part of the key performance indicators.  Outcomes and actions are discussed at quality meetings and staff meetings.  If there is an emergent issue, it is acted upon in a timely manner.  Reports are easily accessible to the acting facility manager.  There have been no reportable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practices are only used where it is clinically indicated and justified and other de-escalation strategies have been ineffective.  Restraint minimisation policies and procedures are comprehensive, and include definitions, processes and use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hospital level resident using an enabler (bedrails) and six hospital residents with restraints (lap belts and/or bed rails)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The resident file was reviewed where an enabler was in use.  Voluntary consent and an assessment process were completed.  The enabler is linked to the resident’s care plan and is regularly reviewed.</w:t>
            </w:r>
          </w:p>
          <w:p w:rsidR="00EB7645" w:rsidRPr="00BE00C7" w:rsidP="00BE00C7">
            <w:pPr>
              <w:pStyle w:val="OutcomeDescription"/>
              <w:spacing w:before="120" w:after="120"/>
              <w:rPr>
                <w:rFonts w:cs="Arial"/>
                <w:b w:val="0"/>
                <w:lang w:eastAsia="en-NZ"/>
              </w:rPr>
            </w:pPr>
            <w:r w:rsidRPr="00BE00C7">
              <w:rPr>
                <w:rFonts w:cs="Arial"/>
                <w:b w:val="0"/>
                <w:lang w:eastAsia="en-NZ"/>
              </w:rPr>
              <w:t>Staff training is in place around restraint minimisation and enablers, falls prevention and analysis, and management of challenging behaviours.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process is described in the restraint minimisation policy.  Roles and responsibilities for the restraint coordinator (clinical manager) and for staff are documented and understood.  The restraint approval process identifies the indications for restraint use, consent process, duration of restraint and monitoring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assessment tool is completed for residents requiring an approved restraint for safety.  Assessments are undertaken by the restraint coordinator in partnership with the RNs, GP, resident and their family/whānau.  Restraint assessments are based on information in the care plan, resident/family discussions and observations.  </w:t>
            </w:r>
          </w:p>
          <w:p w:rsidR="00EB7645" w:rsidRPr="00BE00C7" w:rsidP="00BE00C7">
            <w:pPr>
              <w:pStyle w:val="OutcomeDescription"/>
              <w:spacing w:before="120" w:after="120"/>
              <w:rPr>
                <w:rFonts w:cs="Arial"/>
                <w:b w:val="0"/>
                <w:lang w:eastAsia="en-NZ"/>
              </w:rPr>
            </w:pPr>
            <w:r w:rsidRPr="00BE00C7">
              <w:rPr>
                <w:rFonts w:cs="Arial"/>
                <w:b w:val="0"/>
                <w:lang w:eastAsia="en-NZ"/>
              </w:rPr>
              <w:t>Ongoing consultation with the resident and family/whānau are evident.  Two hospital level residents where restraint was in use were selected for review.  The completed assessments considered those listed in in 2.2.2.1 (a) - (h).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Procedures around monitoring and observation of restraint use are documented in policy.  Approved restraints are documented.  The restraint coordinator is responsible for ensuring all restraint documentation is completed.  Assessments identify the specific interventions or strategies trialled before implementing restraint.  </w:t>
            </w:r>
          </w:p>
          <w:p w:rsidR="00EB7645" w:rsidRPr="00BE00C7" w:rsidP="00BE00C7">
            <w:pPr>
              <w:pStyle w:val="OutcomeDescription"/>
              <w:spacing w:before="120" w:after="120"/>
              <w:rPr>
                <w:rFonts w:cs="Arial"/>
                <w:b w:val="0"/>
                <w:lang w:eastAsia="en-NZ"/>
              </w:rPr>
            </w:pPr>
            <w:r w:rsidRPr="00BE00C7">
              <w:rPr>
                <w:rFonts w:cs="Arial"/>
                <w:b w:val="0"/>
                <w:lang w:eastAsia="en-NZ"/>
              </w:rPr>
              <w:t>Restraint authorisation is in consultation/partnership with the resident and family and the GP.  The use of restraint is linked to the residents’ care plans.  Internal restraint audits measure staff compliance in following restraint procedures.  Each episode of restraint is monitored at pre-determined intervals depending on individual risk to that resident.  Monitoring is documented on a specific restraint monitoring form, evidenced in two resident files where restraint was being used.</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in place providing an auditable record of restraint use and is completed for all residents requiring restraints and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Evaluations are conducted monthly as part of the restraint committee meeting.  A review of two resident files identified that evaluations are up-to-date.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programme is discussed and reviewed at the monthly restraint meetings, attended by the restraint coordinator (clinical manager) and RNs.  Meeting minutes include (but are not limited to) a review of the residents using restraints or enablers, updates (if any) to the restraint programme, and staff education and training.</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62"/>
        <w:gridCol w:w="1280"/>
        <w:gridCol w:w="5048"/>
        <w:gridCol w:w="3978"/>
        <w:gridCol w:w="13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Negligible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had made efforts to access InterRAI training for registered nurses (email evidence sighted).  An inability to access training and the resignation of staff trained or training (which is beyond Baycare’s control) has meant that while the one currently trained RN has completed InterRAI assessments for all recent admissions, contractual obligations have not all been met.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rest home and two hospital level files sampled had risk assessments reviewed in 2016 that did not use the InterRAI tool.  The resignation of InterRAI trained or training staff and the inability to access training for new/current staff, which is beyond the control of the facility, have resulted in this.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sufficient RNs are InterRAI trained to allow contractual obligations are met.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365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of seven care plans included documented interventions to meet the resident current health status.  Interviews with registered nurses and healthcare assistants and observations determined that this was a documentation issue.  Both care plans were amended during the audit.  Therefore the risk is assessed as low.</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documented falls prevention strategies for one rest home resident who was identified as medium falls risk and a frequent faller.  Another rest home resident (long term chronic health condition) who was insulin dependent did not have a diabetic management plan in place.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there are documented interventions to meet the resident current health status.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3227"/>
        <w:gridCol w:w="75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Baycare has reviewed and improved their activities programme and has achieved in providing a stimulating programme with activities that have involved the residents and the wider community.  The residents demonstrate pride in their achievements and feel involved in their community.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Following the 2015 residents survey, Radius Baycare identified the need to improve the activities programme and commenced a review of the programme and plan to improve it, which has been implemented.  Improvements implemented included: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1) A visit to the local primary schools resulted in the developing a mutual relationship for residents and students which has been ongoing.  The pupils of one school spent time showing residents how to make poi and taught them song and poi actions.  There is now a resident Kapa Haka group with residents of many ethnicities who practice weekly and have performed at community events such as the stroke club.  The residents have developed a close relationship with the pupils and letters have been exchanged.  The auditors were honoured to have the Kapa Haka group perform and they were able to witness the pride shown by the residents performing poi and the dexterity required.  </w:t>
            </w:r>
          </w:p>
          <w:p w:rsidR="00EB7645" w:rsidRPr="00BE00C7" w:rsidP="00BE00C7">
            <w:pPr>
              <w:pStyle w:val="OutcomeDescription"/>
              <w:spacing w:before="120" w:after="120"/>
              <w:rPr>
                <w:rFonts w:cs="Arial"/>
                <w:b w:val="0"/>
                <w:lang w:eastAsia="en-NZ"/>
              </w:rPr>
            </w:pPr>
            <w:r w:rsidRPr="00BE00C7">
              <w:rPr>
                <w:rFonts w:cs="Arial"/>
                <w:b w:val="0"/>
                <w:lang w:eastAsia="en-NZ"/>
              </w:rPr>
              <w:t>2) Other schools visit the home and have presented their speeches and Christmas performances for the residents to enjoy.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3) Residents suggested an outdoors golf course and were involved in the planning and development of this.  An outdoor area was landscaped into a nine-hole golf course.  Residents made the flags and named each of the nine holes which are based on local tourist sites.  Residents entered the Christmas parade, decorated the van and came up with their own theme of Super Heroes with a treasure chest of life on the top of the van.  The knitters group made knitted poppies for the Waiouru Military museum to commemorate the 100 years from World War 1.  The knitters then continued to make booties and beanies for babies born at the area birthing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4) Photo Dairies – The activity coordinator introduced resident photo diaries to prompt memory of activities and conversation with families about their activities and interests.  One day a week is planed so the residents can update their diaries, write captions and scrapbook their diaries.  The activity coordinator assists residents to achieve their desired results.  The diaries are kept in the resident rooms and available for families to view.  Relatives have commented they enjoy coming in to visit and the diaries prompt conversations and memories for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a result of the improvements, the activities section of the resident survey has improved from 25% satisfaction in 2015 with resident’s comments that reflected the activities were not stimulating enough and they were not involved in the planning of activities, to 60% in 2016 with no negative comments.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Radius Residential Care Limited - Radius Baycare Home &amp; Hospital</w:t>
    </w:r>
    <w:bookmarkEnd w:id="58"/>
    <w:r>
      <w:rPr>
        <w:rFonts w:cs="Arial"/>
        <w:sz w:val="16"/>
        <w:szCs w:val="20"/>
      </w:rPr>
      <w:tab/>
      <w:t xml:space="preserve">Date of Audit: </w:t>
    </w:r>
    <w:bookmarkStart w:id="59" w:name="AuditStartDate1"/>
    <w:r>
      <w:rPr>
        <w:rFonts w:cs="Arial"/>
        <w:sz w:val="16"/>
        <w:szCs w:val="20"/>
      </w:rPr>
      <w:t>10 October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