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Bethlehem Views Limited - Bethlehem Views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Bethlehem Views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Bethlehem Views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2016</w:t>
      </w:r>
      <w:bookmarkEnd w:id="7"/>
      <w:r w:rsidRPr="009418D4">
        <w:rPr>
          <w:rFonts w:cs="Arial"/>
        </w:rPr>
        <w:tab/>
        <w:t xml:space="preserve">End date: </w:t>
      </w:r>
      <w:bookmarkStart w:id="8" w:name="AuditEndDate"/>
      <w:r w:rsidR="00A4268A">
        <w:rPr>
          <w:rFonts w:cs="Arial"/>
        </w:rPr>
        <w:t>23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Bethlehem Views Limited provides rest home, hospital and secure dementia care in Tauranga. </w:t>
      </w:r>
    </w:p>
    <w:p w:rsidRPr="00A4268A">
      <w:pPr>
        <w:spacing w:before="240" w:line="276" w:lineRule="auto"/>
        <w:rPr>
          <w:rFonts w:eastAsia="Calibri"/>
        </w:rPr>
      </w:pPr>
      <w:r w:rsidRPr="00A4268A">
        <w:rPr>
          <w:rFonts w:eastAsia="Calibri"/>
        </w:rPr>
        <w:t xml:space="preserve">The provider has announced a change of operator/control which is scheduled to take effect on 1 October 2016. The Ministry of Health advised this does not require a provisional audit. Otherwise there have been no changes to the organisation or the scope of services provided since the previous surveillance audit in April 2015. </w:t>
      </w:r>
    </w:p>
    <w:p w:rsidRPr="00A4268A">
      <w:pPr>
        <w:spacing w:before="240" w:line="276" w:lineRule="auto"/>
        <w:rPr>
          <w:rFonts w:eastAsia="Calibri"/>
        </w:rPr>
      </w:pPr>
      <w:r w:rsidRPr="00A4268A">
        <w:rPr>
          <w:rFonts w:eastAsia="Calibri"/>
        </w:rPr>
        <w:t>This re-certification audit was conducted against the Health and Disability Services Standards and the provider’s contract with the Bay of Plenty District Health Board (BOPDHB). The audit process included the review of policies and procedures, the review of residents and staff files, observations, interviews with residents and their families, management and staff. A general practitioner was interviewed on site and expressed confidence in the care and services provided.</w:t>
      </w:r>
    </w:p>
    <w:p w:rsidRPr="00A4268A">
      <w:pPr>
        <w:spacing w:before="240" w:line="276" w:lineRule="auto"/>
        <w:rPr>
          <w:rFonts w:eastAsia="Calibri"/>
        </w:rPr>
      </w:pPr>
      <w:r w:rsidRPr="00A4268A">
        <w:rPr>
          <w:rFonts w:eastAsia="Calibri"/>
        </w:rPr>
        <w:t>This audit identified three areas of service delivery which required improvement and three areas where services exceeded the requirements. Improvements are required with the management of complaints, staff performance appraisals and safe restraint use. Communications, activities and management of short term medical and health interventions were rated as continuous improvements.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 xml:space="preserve">There are no known barriers to residents accessing the service.  Services are planned to respect the care required, culture, values and beliefs of all the residents, including Maori residents.  </w:t>
      </w:r>
    </w:p>
    <w:p w:rsidRPr="00A4268A">
      <w:pPr>
        <w:spacing w:before="240" w:line="276" w:lineRule="auto"/>
        <w:rPr>
          <w:rFonts w:eastAsia="Calibri"/>
        </w:rPr>
      </w:pPr>
      <w:r w:rsidRPr="00A4268A">
        <w:rPr>
          <w:rFonts w:eastAsia="Calibri"/>
        </w:rPr>
        <w:t>Written consents are obtained from the residents’ families/whanau, enduring power of attorney (EPOA) or appointed guardians, when necessary.  When signing consent forms there was an option for information to be provided in six different languages.</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The documented complaints management system meets the requirements of the Code.   Families reported that staff immediately respond to and begin to address any concerns they raise. There have been no external investigations by the district health board or the Office of the Health and Disability Commissioner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Residents and staff have been informed about the intended change of operator in the near future. The current director/operators continue to meet regularly with the general manager (GM) to monitor progress against the business/strategic plan and to be updated about operational matters. There has been a change of clinical nurse manager and team leader who report to the GM. The senior management team are appropriately qualified for their positions and have experience working in the aged care sector. </w:t>
      </w:r>
    </w:p>
    <w:p w:rsidRPr="00A4268A">
      <w:pPr>
        <w:spacing w:before="240" w:line="276" w:lineRule="auto"/>
        <w:rPr>
          <w:rFonts w:eastAsia="Calibri"/>
        </w:rPr>
      </w:pPr>
      <w:r w:rsidRPr="00A4268A">
        <w:rPr>
          <w:rFonts w:eastAsia="Calibri"/>
        </w:rPr>
        <w:t xml:space="preserve">The quality and risk management systems are well established and meet the required standards. Staff are monitoring service delivery through internal auditing, analysis of quality data, benchmarking and by actively seeking feedback from residents and their families. There are effective systems for identifying and managing actual and potential risks. </w:t>
      </w:r>
    </w:p>
    <w:p w:rsidRPr="00A4268A">
      <w:pPr>
        <w:spacing w:before="240" w:line="276" w:lineRule="auto"/>
        <w:rPr>
          <w:rFonts w:eastAsia="Calibri"/>
        </w:rPr>
      </w:pPr>
      <w:r w:rsidRPr="00A4268A">
        <w:rPr>
          <w:rFonts w:eastAsia="Calibri"/>
        </w:rPr>
        <w:t xml:space="preserve">Adverse events are being reliably reported, investigated and analysed to predict and minimise unwanted trends. The organisation has made essential notifications where required to the district health board and the Ministry of Health. </w:t>
      </w:r>
    </w:p>
    <w:p w:rsidRPr="00A4268A">
      <w:pPr>
        <w:spacing w:before="240" w:line="276" w:lineRule="auto"/>
        <w:rPr>
          <w:rFonts w:eastAsia="Calibri"/>
        </w:rPr>
      </w:pPr>
      <w:r w:rsidRPr="00A4268A">
        <w:rPr>
          <w:rFonts w:eastAsia="Calibri"/>
        </w:rPr>
        <w:t xml:space="preserve">New staff have been recruited in ways that ensure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their roles and service provision to older people. Training occurs at least monthly through in-service education sessions, and through self-directed learning and presentations by external experts. </w:t>
      </w:r>
    </w:p>
    <w:p w:rsidRPr="00A4268A">
      <w:pPr>
        <w:spacing w:before="240" w:line="276" w:lineRule="auto"/>
        <w:rPr>
          <w:rFonts w:eastAsia="Calibri"/>
        </w:rPr>
      </w:pPr>
      <w:r w:rsidRPr="00A4268A">
        <w:rPr>
          <w:rFonts w:eastAsia="Calibri"/>
        </w:rPr>
        <w:t xml:space="preserve">There are sufficient numbers of clinical and auxiliary staff allocated on all shifts, seven days a week, to meet the needs of residents. The allocation of registered nurses (RNs) across the site meets contractual requirements. </w:t>
      </w:r>
    </w:p>
    <w:p w:rsidRPr="00A4268A">
      <w:pPr>
        <w:spacing w:before="240" w:line="276" w:lineRule="auto"/>
        <w:rPr>
          <w:rFonts w:eastAsia="Calibri"/>
        </w:rPr>
      </w:pPr>
      <w:r w:rsidRPr="00A4268A">
        <w:rPr>
          <w:rFonts w:eastAsia="Calibri"/>
        </w:rPr>
        <w:t>Consumer information management systems meet the required standards. Archived records are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in both enquiry and information packs provided to new residents.  The service has policies and processes related to entry into the service.</w:t>
      </w:r>
    </w:p>
    <w:p w:rsidRPr="00A4268A" w:rsidP="00621629">
      <w:pPr>
        <w:spacing w:before="240" w:line="276" w:lineRule="auto"/>
        <w:rPr>
          <w:rFonts w:eastAsia="Calibri"/>
        </w:rPr>
      </w:pPr>
      <w:r w:rsidRPr="00A4268A">
        <w:rPr>
          <w:rFonts w:eastAsia="Calibri"/>
        </w:rPr>
        <w:t>Residents are admitted by a qualified and trained registered nurse who completes an initial assessment and then develops a care plan specific to the resident. This is developed with the resident, family and existing community supports and health care professionals. When there are changes to the resident’s needs a short term plan is developed and integrated into a long term plan, as needed. The service meets the contractual time frames for all short and long term care plans.  All care plans are evaluated at least six monthly.  All residents have ‘interRAI’ assessments completed and individualised care plans.</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Diversional therapists provide planned activities meeting the needs of the residents as individuals and in group settings.  Families reported that they are encouraged to participate in the activities of the facility and those of their relatives.  Residents are encouraged to maintain links with family and the community.</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  The service has documented evidence that staff responsible for medicine management are assessed as competent to do so.</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effective and safe processes for managing waste and hazardous materials. The building has a current warrant of fitness. Residents’ bedrooms were spacious and personalised. Communal areas are easily accessed with appropriate seating and furniture to accommodate the needs of the residents. External areas are safe and well maintained. </w:t>
      </w:r>
    </w:p>
    <w:p w:rsidRPr="00A4268A">
      <w:pPr>
        <w:spacing w:before="240" w:line="276" w:lineRule="auto"/>
        <w:rPr>
          <w:rFonts w:eastAsia="Calibri"/>
        </w:rPr>
      </w:pPr>
      <w:r w:rsidRPr="00A4268A">
        <w:rPr>
          <w:rFonts w:eastAsia="Calibri"/>
        </w:rPr>
        <w:t xml:space="preserve">Fixtures, fittings and flooring is appropriate and toilet/shower facilities are constructed for ease of cleaning. There is regular monitoring and reporting on the effectiveness of cleaning and laundry services. </w:t>
      </w:r>
    </w:p>
    <w:p w:rsidRPr="00A4268A">
      <w:pPr>
        <w:spacing w:before="240" w:line="276" w:lineRule="auto"/>
        <w:rPr>
          <w:rFonts w:eastAsia="Calibri"/>
        </w:rPr>
      </w:pPr>
      <w:r w:rsidRPr="00A4268A">
        <w:rPr>
          <w:rFonts w:eastAsia="Calibri"/>
        </w:rPr>
        <w:t xml:space="preserve">Emergency systems and the equipment needed for emergencies is being checked frequently. This includes the ability to provide sufficient food and water for the number of residents for at least three days. There is an approved evacuation scheme and systems for ensuring that all staff attend fire updates at least annually. All registered nurse and some auxiliary staff hold current first aid certificates. The facility is heated in ways that provides comfortable and constant internal temperatures. Electrical equipment is being checked annually. All medical equipment is serviced and calibrated annually.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On the days of audit the restraint register was up to date and contained sufficient detail about each resident who required interventions for safety. There were two restraints and six enablers in use on the days of audit. The Restraint Minimisation and Safe Practice Standard was met.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facility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There is a monthly surveillance programme, where infections information is collated, analysed and trended with previous data.  Where trends are identified actions are implemented to reduce infections.  The infection surveillance results are reported at staff and management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6"/>
        <w:gridCol w:w="1280"/>
        <w:gridCol w:w="94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throughout the facility on corridor walls in full view.</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with ongoing and updated training occurring at regular intervals.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 family and/or enduring power of attorney (EPOA).  Family/whanau interviewed stated that their relatives were able to make informed choices around the care they received and families/whanau were actively encouraged to be involved in their relative’s care and decision.  Advance directives are signed by the resident if competent.  Staff interviewed acknowledged the resident’s right to receive, refuse and withdraw consent for care/services.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within the local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Family/whanau interviews reported that residents are supported and encouraged to interact with community groups whom visit the facility and while residents are out visiting in the community.  Evidence was documented in daily and planned activities in resident’s progress notes and care planning, such as church services and interaction of different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complaint management system complies with right 10 of the Code and the requirements of this standard. There had been no serious complaints received since the previous audit in April 2015. The residents and family members interviewed confirmed that that they had been provided written and verbal information on how to make a complaint. The complaint procedure is clearly documented in the residential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complaints register contains 13 complaints received since the 2015 surveillance audit. The complaints management process was not followed in dealing with four of these complaints and a complaint raised in the review of a residents care was not listed in the register. There is an improvement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family on admission and is evidenced in the admissions agreement and information packs.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that were interviewed reported that the Code was explained to them on admission.   The Code of Rights and process was also regularly discussed at family meetings. Residents, family members and whanau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families/whanau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families/whanau members interviewed reported that their relative was treated in a manner that showed regard for the resident’s dignity, privacy and independence.  At the time of the audit staff were seen to knock on residents’ doors and await a response before entering.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acknowledges the facility’s responsibilities in accordance with the Treaty of Waitangi and/or other protocols/guidelines in meeting the needs of Maori residents.  The facility is committed to identifying the needs of its resident’s cultural and spiritual needs and ensuring that staff are trained and capable of supporting appropriately all residents in their care.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there are no barriers to Maori accessing the service.  At the time of the audit there was one Maori resident.  The health care assistants and registered nurses interviewed demonstrated good understanding of practices that identified the needs of the Maori resident and importance of whanau and their Maori culture.  This was also evidenced in care plans expressing the resident’s specific and individual needs in relation to their Maori culture and beliefs.  The relative/whanau interviewed confirmed that they were happy with the cultural and spiritual support that was provided for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liaise with family/whanau at the time of admission and at regular intervals to ensure cultural or religious visits continue as appropriate.   Residents have access and are supported to attend services within the facility and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Education on cultural sensitivity and spirituality has been completed.  Families interviewed were happy with the care provided by those staff who also identify with a different culture.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Families/whanau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 and attend regular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registered nurses, health care assistants and in the care planning process.  Policies and procedures are linked to evidence-based practice. There are regular visits by residents’ GPs, links with the mental health services, hospice, the geriatrician and different DHB nurse specialists and consultants. Care guidelines/policy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families/whanau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 including any DHB and/or external consultant specialist appointments.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who do not speak English are advised of the availability of an interpreter at the first point of contact with staff.  At the time of audit all residents spoke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Bethlehem Views can accommodate 91 residents and on the days of audit there were 86 residents. This comprised 45 residents requiring rest home level care, 21 requiring hospital level care and 20 in the secure dementia wing. There were no residents under the age of 65 years. One resident is funded under a Ministry of Health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clearly defined scope, direction and goals documented in the 2015-2016 business plan. </w:t>
            </w:r>
          </w:p>
          <w:p w:rsidR="00EB7645" w:rsidRPr="00BE00C7" w:rsidP="00BE00C7">
            <w:pPr>
              <w:pStyle w:val="OutcomeDescription"/>
              <w:spacing w:before="120" w:after="120"/>
              <w:rPr>
                <w:rFonts w:cs="Arial"/>
                <w:b w:val="0"/>
                <w:lang w:eastAsia="en-NZ"/>
              </w:rPr>
            </w:pPr>
            <w:r w:rsidRPr="00BE00C7">
              <w:rPr>
                <w:rFonts w:cs="Arial"/>
                <w:b w:val="0"/>
                <w:lang w:eastAsia="en-NZ"/>
              </w:rPr>
              <w:t>The GM provides regular verbal and written reports to the directors on service delivery outcomes, quality improvement projects, financial issues, compliments, complaints, audit outcomes and staffing information. The GM who has been in the role for six years, oversees the day-to-day service delivery and operations for Bethlehem views from another facility in Hamilton and is onsite at Bethlehem Views one to two days a week. This person is a NZ Registered Nurse with many years clinical and managerial experience working in physical rehabilitation, elderly, dementia and palliative care facilities. The GM is maintaining a nursing portfolio by attending ongoing, relevant education in nursing, leadership and management. The clinical nurse manager who was employed in 2015 is a registered nurse with palliative clinical experience in age care. Review of personnel files and interviews confirmed that all senior management staff are qualified for their roles and maintain their skills and knowledge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GM and clinical nurse manager and other staff confirmed that cover for planned absences is delegated to the next most suitable and senior person. Staff stated these arrangements were proven to be effective and ensured continuity for staff,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documents and interview with the quality coordinator showed that the organisation is maintaining effective quality and risk management systems. Policies are reviewed against current standards, legislation and known best practice two yearly, or earlier when required. The policies include reference to the requirements for interRAI assessments and care planning. </w:t>
            </w:r>
          </w:p>
          <w:p w:rsidR="00EB7645" w:rsidRPr="00BE00C7" w:rsidP="00BE00C7">
            <w:pPr>
              <w:pStyle w:val="OutcomeDescription"/>
              <w:spacing w:before="120" w:after="120"/>
              <w:rPr>
                <w:rFonts w:cs="Arial"/>
                <w:b w:val="0"/>
                <w:lang w:eastAsia="en-NZ"/>
              </w:rPr>
            </w:pPr>
            <w:r w:rsidRPr="00BE00C7">
              <w:rPr>
                <w:rFonts w:cs="Arial"/>
                <w:b w:val="0"/>
                <w:lang w:eastAsia="en-NZ"/>
              </w:rPr>
              <w:t>All quality data, such as incidents/accidents, infections, pressure injuries, results of internal audits, complaints and service delivery improvements continues to be analysed and discussed with all levels of staff at weekly and monthly meetings. There is evidence of actions being implemented to good effect when service deficits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are consulted about services and are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annual quality plan, business plan and associated emergency plans identify current actual and potential risk to the business, service delivery, staff and/or visitors’ health and safety.  Environmental risks continue to be communicated to visitors, staff and residents as required. Review of a range of meeting minutes showed that health and safety, including new hazards and resident related risks, are discussed. Trial fire evacuations have occurred every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and managed processes for the reporting, recording, investigation and review of all incidents and accidents. The reporting system is overseen by the quality coordinator and was known by the staff who were interviewed. The event records reviewed on the days of the audit showed that internal reporting and external notification occurs immediately or as soon as practicable. Staff, families and others who are impacted by an adverse event (for example, GPs or the district health board) are informed in a timely manner. Each preventable event is investigated to determine cause and prevent or minimise recurrence. Observation on the days of audit confirmed that incidents are discussed at shift handover, and trending data is displayed. Each resident’s file contained incident reports which facilitated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is responsible for essential notification and reporting and understands the statutory and regulatory obligations. There has been notification of a pressure injury in 2015 to the DHB and MoH.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for new staff adheres to best known employment processes. Each of the 14 staff files reviewed on site contained evidence of formal interviews, verification of qualifications, copies of notes from referees who had been contacted and police checks completed before confirming an employment agreement. The personnel records also showed that the registered nurses and enrolled nurses have current practising certificates, and that each role has a job description. All staff are employed on individual employment agreement which includes a trial 90-day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covers organisational systems, quality and risk, the Code of Health and Disability Services Consumers’ Rights (the Code), health and safety, resident care, privacy and confidentiality, restraint, infection prevention and control and emergency situations. One new clinical staff person interviewed said the orientation process worked well for them. There is an improvement required about the frequency of staff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attend compulsory training in emergency management, first aid, medicine administration, manual handling and infection control. The service supports all staff to engage in ongoing training and education related to care of older people.</w:t>
            </w:r>
          </w:p>
          <w:p w:rsidR="00EB7645" w:rsidRPr="00BE00C7" w:rsidP="00BE00C7">
            <w:pPr>
              <w:pStyle w:val="OutcomeDescription"/>
              <w:spacing w:before="120" w:after="120"/>
              <w:rPr>
                <w:rFonts w:cs="Arial"/>
                <w:b w:val="0"/>
                <w:lang w:eastAsia="en-NZ"/>
              </w:rPr>
            </w:pPr>
            <w:r w:rsidRPr="00BE00C7">
              <w:rPr>
                <w:rFonts w:cs="Arial"/>
                <w:b w:val="0"/>
                <w:lang w:eastAsia="en-NZ"/>
              </w:rPr>
              <w:t>The service supports health care assistants to complete specific education in aged care. The sample of personnel files from staff rostered to work in the secure unit showed all had either completed or were working to achieve the required unit standards in dementia care. The records showed that 90% of RNs, enrolled nurses (ENs) and the activities staff are maintaining certificates in first aid. Rosters revealed there is always an RN with first aid on site. All staff who require competency in medicines administration are being assessed at least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Bethlehem Views has a clearly documented and implemented staffing rationale. Rosters sighted and interview with different levels of staff confirmed there are the required numbers of skilled and experienced staff on all shifts in each service area. This complies with the provider’s agreement with the district health board (ARC contract). Staffing allocation takes into account the acuity and support needs of residents. The service is maintaining ratios of one staff member to four residents in the memory loss unit, plus a registered nurse and one staff member to five residents in the rest home and hospital. An additional (fourth) RN has been rostered on each Saturday and Sunday as backup for administrative and clinical workloads. Staff stated there are enough staff on each shift and effective backup systems are in place to cover staff absences. There were no concerns expressed about staff turnover. Residents and their relatives were satisfied with the skills, experience and availability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were being safely held on site for 10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an admission/enquiry form that records pre-admission information.  When an enquiry is made, it is then entered into a database which holds record of the enquiry and is regularly followed up by the facility.   The resident admission agreement is based on the Aged Care Association agreement which is individualised to the service.  The resident’s records reviewed have signed admission agreements by the resident/family or 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criteria were sighted and the services website clearly identifies what services are provided.  Vacancies are updated daily through Eldernet and Bethlehem Views has their own web site.  Staff after hours and on weekends are able to support potential new residents/families’ enquiries.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process when and error occurs as well as definitions for ‘over the counter’ medications that may be required by residents. The sighted policies meet the legislative requirements and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for residents are received and delivered by the pharmacy in a pre-packed delivery system.  A safe system for medicine management was observed on the day of the audit.  Medicines were stored in a locked medicine trolley and stored in a locked room.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an electronic medication charting and management system.  The 36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One resident self-administers medications and documentation and assessment of the resident’s ability was evidenced and was reviewed every three months by the registered nurse and GP.  The resident’s medication is in a secure location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the staff (registered nurse and health care assistants) designated as responsible for medicine management.  The registered nurse administering medicines at the time of audit demonstrated competency related to medicine management.  The medicine competencies undertaken by current staff include specific insulin and warfarin instructions.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medications that require to be refrigerated are correctly stored and the registered nurse is responsible for the recording of temperatures.  All temperatures were maintained within the recommended range.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that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 copy of the nutritional profile is provided to the kitchen staff to ensure all needs, wants, dislikes and special diets of the resident are catered for.   The kitchen manager sees each resident at least monthly, to receive feedback on the meals and update any special requirements or requests.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 kitchen offers residents a variety of cereals for breakfast, a main option for lunch including a desert and a lighter menu option for dinner.   All main meals are supported by morning and afternoon tea which includes home baking.  An alternative meal is offered if preferred by the resident.   There is a small kitchenette situated in the special care memory unit where residents are supervised and supported to prepare and cook food and the making of hot/cold beverages.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and served in the dining rooms.   Residents have breakfast in their rooms and are encouraged to have their lunch and evening meals in the dining rooms to encourage appetites and socialisation.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reported satisfaction with the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interviewed reported that the facility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the electronic interRAI assessment.  Specific assessment tools for all residents remain paper based.  Assessments are carried out by a registered nurse appropriate to the level of care of the resident and includes falls, skin integrity, and challenging behaviour, nutritional needs, continence, and communication, end of life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their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injury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18 residents’ files reviewed have electronic care plans that address the resident’s current abilities, concerns, routines, habits and level of independence.  Strategies for reducing and minimising risk while promoting quality of life and independence are sighted in interventions and evaluations of residents’ files.  The health care assistants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senior registered nurse, care and activity staff and medical and allied health services.  The registered nurse and healthcare assistants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they were very happy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nurses and healthcare assistants demonstrated good knowledge of individual residents.  Staff were observed to redirect and distract residents with challenging behaviour providing individual and specific care that as reflected in the resident’s care plan.  The residents’ files showed evidence of discussions and involvement of family.  The family/whanau interviewed reported that the staff knew their resident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health care assistants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of new interests. The activities coordinator adapts activities to meet the needs and preference of choices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works in the special memory loss unit Monday to Friday (40-hour week).  The weekly activities plan sighted is developed based on the resident’s individual needs and interests and can be easily adapted and changed depending on the resident’s physical ability, interest and reaction at the time.  The residents have the opportunity and are also encouraged to partake in daily activities of living, for example, household chores, cooking, going to the movies, visiting the shopping centre and having coffee.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diversional therapist works Monday to Friday (40-hour week) and is supported by an assistant (35-hour week) ensuring that residents are supported six days a week.    Regular activities include daily newspaper reading and exercises, church services.   Public holidays, special events and monthly themes are celebrated.  Different community group’s visit and residents are encouraged to attend events and activities within the community.  For residents who wish to remain in their rooms, activities and one to one interaction is offered and supported by staff.   The health care assistants interviewed stated that they have access to activities to support residents after hours and on the weekends.  Staff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A challenging behaviour and assessment tool and monitoring form is developed for residents and care plans sighted evidenced interventions to support residents whom are presenting with challenging behaviours over a 24-hour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Letters of appreciation by families were evidenced.  All families interviewed stated that they were happy with the activities on offer and families and visitors felt included when they visited.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are not responding to the services/interventions being delivered, are discussed with their GP and family/whanau.  Short term care plans were sighted for wound care, infections, and changes in mobility, changes in food and fluid intake and skin care.  The medical and nursing assessments of these short term care plans were documented in the residents’ progress notes.  The healthcare assistants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GP who visits the residents at the facility and is available after hours via phone.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described policies and procedures for the safe and appropriate disposal of waste, and infectious or hazardous substances. These comply with local government and legislative requirements, the requirements of this standard and the provider’s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and interviews with care staff, cleaning and laundry staff on the days of audit, revealed that chemicals were stored securely and that there is safe disposal of body waste and contaminated or potentially infectious products. Incontinence products are doubled bagged and bins are emptied to outside containers regularly. The sluice rooms were clean and well equipped. Personal protective equipment is available and staff were observed using this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and interviews confirmed that all staff are provided with initial education on the safe handling of chemicals. Ongoing education and support with this is provided by the chemical supplier.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of warrant of fitness (BWOF) is current and due to expire on 11 April 2017. </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of all internal and external areas revealed no environmental hazards. Interview with staff and members of the health and safety team confirmed vigilance in identifying, reporting and removing any potential risks to residents, staff or visitor safety. Hazard monitoring and preventative maintenance is ongoing.</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GM, quality person, maintenance person, review of records and observations on the days of audit showed that electrical testing and tagging is completed annually by a certified electrician and calibrations of scales and medical equipment occurs as required by the device. Inspection of the equipment revealed that fire safety equipment and hoists are regularly checked for safety. The service vehicle had a current warrant of fitness and registration</w:t>
            </w:r>
          </w:p>
          <w:p w:rsidR="00EB7645" w:rsidRPr="00BE00C7" w:rsidP="00BE00C7">
            <w:pPr>
              <w:pStyle w:val="OutcomeDescription"/>
              <w:spacing w:before="120" w:after="120"/>
              <w:rPr>
                <w:rFonts w:cs="Arial"/>
                <w:b w:val="0"/>
                <w:lang w:eastAsia="en-NZ"/>
              </w:rPr>
            </w:pPr>
            <w:r w:rsidRPr="00BE00C7">
              <w:rPr>
                <w:rFonts w:cs="Arial"/>
                <w:b w:val="0"/>
                <w:lang w:eastAsia="en-NZ"/>
              </w:rPr>
              <w:t>External furniture and walkways were viewed as safe for use by the resident group and are being well maintained. There is ready access to outside sitting areas with protection from the elements. Residents and relatives interviewed were highly satisfied with the surroundings.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has an individual toilet and shower ensuite and in many instances staff are supporting residents with showering. There is an additional room with bed shower in the hospital/rest home wings and additional staff and visitor toilets are conveniently located throughout the building. There have been no reported issues with maintaining resident’s privacy when attending to personal hygiene needs. </w:t>
            </w:r>
          </w:p>
          <w:p w:rsidR="00EB7645" w:rsidRPr="00BE00C7" w:rsidP="00BE00C7">
            <w:pPr>
              <w:pStyle w:val="OutcomeDescription"/>
              <w:spacing w:before="120" w:after="120"/>
              <w:rPr>
                <w:rFonts w:cs="Arial"/>
                <w:b w:val="0"/>
                <w:lang w:eastAsia="en-NZ"/>
              </w:rPr>
            </w:pPr>
            <w:r w:rsidRPr="00BE00C7">
              <w:rPr>
                <w:rFonts w:cs="Arial"/>
                <w:b w:val="0"/>
                <w:lang w:eastAsia="en-NZ"/>
              </w:rPr>
              <w:t>Hot water monitoring is occurring monthly and temperatures are well within safe limits of below 45 degrees. The temperature of all hot water outlets is moderated by tempering valves. This was confirmed by hand testing of taps in various locations during the onsite audit. Hand washing facilities and gel sterilizer units are located throughout the facility for staff and visitor use. Residents and families interviewed were very happy with the facilities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on the days of audit revealed one bedroom was occupied by a married couple otherwise all rooms were occupied by one person. Each bedroom was spacious and easily accommodated a bed, occasional furniture, easy chair and personal effects. There is enough room for residents to move around safely with or without a mobility aid and double entry doors allow easy access to each bedroom. Residents and their families expressed satisfaction with their personal space. The service meets the requirement of the ARC contract and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now two open dining areas for rest home and hospital residents. These are furnished with sufficient tables and chairs of a height and design suitable for older people. The size of the main lounge area with access to external decks and gardens was considerably extended to accommodate the increase in resident numbers in 2014. These areas are well lit by large windows and external doors and are used for activities during the day. A second lounge in another wing is also used for activities, meetings, visiting and church services. Residents were observed to be accessing the recreational and dining areas by themselves or with support from staff. There is plenty of other internal and external seating areas. The secure unit has a large communal lounge and dining area and smaller areas for activities and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policies and procedure clearly describe safe and effective methods for the provision of hygienic laundry and cleaning services. Interview with laundry and cleaning staff and residents and families revealed no concerns. The laundry easily accommodates two industrial washing machines, one industrial drier, smaller washing machines, ironing and clothing storage space. Laundry and cleaning staff are rostered on site seven days a week. Personnel records and staff interviews confirm appropriate orientation to job role and duties and attendance at ongoing training in safe chemical use. Material safety data sheets for each product are available where the chemicals are located. Chemical dispensing stations and trolleys are stored securely in locked rooms. Visual inspection revealed these are clean and well organised. </w:t>
            </w:r>
          </w:p>
          <w:p w:rsidR="00EB7645" w:rsidRPr="00BE00C7" w:rsidP="00BE00C7">
            <w:pPr>
              <w:pStyle w:val="OutcomeDescription"/>
              <w:spacing w:before="120" w:after="120"/>
              <w:rPr>
                <w:rFonts w:cs="Arial"/>
                <w:b w:val="0"/>
                <w:lang w:eastAsia="en-NZ"/>
              </w:rPr>
            </w:pPr>
            <w:r w:rsidRPr="00BE00C7">
              <w:rPr>
                <w:rFonts w:cs="Arial"/>
                <w:b w:val="0"/>
                <w:lang w:eastAsia="en-NZ"/>
              </w:rPr>
              <w:t>Systems, such as audits and resident and family surveys, monitor the effectiveness of the laundry and cleaning services provided. Monthly visits from the chemical supplier includes testing the effectiveness and safe use of cleaning and laundry products.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Bethlehem Views has clearly described emergency plans. Interviews with all levels of staff demonstrated that emergency and security systems are known and understood. The building has an approved fire evacuation scheme. Records showed that fire drills are occurring every six months. Staff attendance at these is monitored to ensure everyone attends at least one fire safety update annually. There was evidence in the staff files sampled that information and testing of knowledge about emergency procedures occurs during orientation. There are sufficient numbers of registered nurses on site and on call twenty-four hours a day, seven days a week for the management of emergencies.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staff and inspection of the emergency/civil defence stores confirmed there was sufficient stock of food, equipment and essential supplies in the event of a natural disaster or power outage. There is 25,000 litres of water on site, and the facility has back up lighting but no generator. Residents requiring oxygen would have this supplied by portable oxygen bottles. The call bell system was observed to be functional during the onsite audit. Residents and families interviewed confirmed that staff usually respond to call bells in a timely way.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rest home/hospital bedroom has a heat pump with air conditioning option so residents are able to adjust individual room temperatures. Temperatures in communal areas and in the secure until are moderated by staff. Each bedroom has at least one opening window and in the hospital/rest home, external opening glass doors that provide adequate ventilation. Residents and families were satisfied with lighting, heating and air flow in all areas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is the infection control coordinator and is responsible for following the programme as defined in the infection control manual.  Infections are monitored by using standardised definitions to identify infections, surveillance, changes in behaviours, monitoring of organisms related to antibiotic use and the monthly surveillance record.  Infection control is discussed at staff meetings.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the staff communication book, one to one, at shift handover and in resident’s documented short term care plans and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team leader has the role of infection prevention and control coordinator.  Infection control issues are identified to staff. The facility has the support of a clinical infection control specialist doctor and clinical nurse specialist who is available for advice on infection prevention. Advice can also be sought from different external sources, including the laboratory diagnostic services and the GP.  The infection control coordinator regularly attends infection control education.  The registered nurse and health care assistants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policy sets out the expectations the organisation uses to minimise infections.  This is supported by an infection control manual and policies and procedures that support specific areas, including managing sharps, managing multi-drug resistant organisms, exposure of blood and body fluids, personal protective equipment, single use items, outbreak management and pandemic policy, cleaning disinfecting and sterilisation, waste management policies, and policy related to staff sickness/infections. Staff were observed at the time of audit demonstrating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health care assistants interviewed were able to demonstrate good infection prevention and control techniques and awareness of standard precautions, such as hand washing.  Hand washing of staff is reviewed regularly by the registered nurse.  Infection control is integrated within the new employee induction manual and in-service education sessions are held for staff. Family/visitor education is provided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urinary tract infections, respiratory tract infections, fungal skin, soft tissue, scabies, and eye and gastroenteritis infections.  Antibiotic use is also closely monitored as discussed with the GP and reviewed in clinical records.  The monthly analysis of the infections includes trends and actions taken to reduce infections.  This information is fed back and discussed in staff, and where appropriate, at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Infection rates for respiratory infections for April 2016 was seven, and in June was reduced to two.  In August of 2016 urinary tract infections increased to seven; four residents were identified as having a chronic medical history and frequent infections. One resident has since deceased.  Care planning and intervention/evaluation and minutes of meetings showed how staff were reducing and minimising risk and trends and actions to take to reduce the spread of infections for individual residents and as a facility.  All residents who were unwell were assessed as being at the appropriate level of care.  Families/whanau interviewed reported that they were made aware, within appropriate timeframes, of their relative being unwell and the interventions/actions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procedures are from a consultant’s standardized quality system and the service has not substantially modified these. The policy definitions are congruent with this standard and state the approved restraints are lap belts and bedrails. Completion of the forms for assessment, consent, review and monitoring and quality management review is occurring. The service is actively trying to reduce the amount of restraint in use by using more low beds and fall out mattress protectors. These were observed to be in use in at least four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 restraint register listed two residents with restraints, one with a bed rail and one with a lap belt. Six residents are using bedrails as enablers (two of these additionally use safety belts when in wheelchairs). Discussions with the restraint coordinator and review of residents’ records and restraint documentation revealed that assessment and consent had been obtained and that monitoring and quality evaluation and review of all restraints and enablers is occurring. Further evidence was obtained from interview with a resident using an enabler and close observation of the use of a three-way lap belt with one resident and interview with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documented approval for use of both restraints and all enablers in the restraint register reviewed. Families are included in discussion and are provided with information about restraint and enablers which clearly identify the risks associated with these. Two family members interviewed confirmed this had occurred and they had also reviewed the plan of care for their parent.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resident’s records reviewed of residents using restraints contained a comprehensive account of the assessment made prior to use. These included current falls risk, a history of incidents, alternatives tried and reasons for the assessment being conducted. All risks associated with the bed rail or lap belt were identified and highlighted.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alternatives considered and trialled before initiating restraint were documented in the assessment forms and in the care plans. The quality person, RNs and the restraint coordinator educate and support staff to try alternatives. All staff must attend annual restraint training which includes a competency test. The restraint register records the type of restraint in use, the frequency of monitoring and review and the date it was initiated. Staff were not following the care and monitoring requirements for the use of one restraint,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including care records, and staff interviews confirmed that ongoing restraint use is routinely evaluated and reviewed at least six monthly by the RNs and restraint coordinator. The records, staff interviews and observations revealed the service is trying different approaches to prevent harm from falls and reduce restraint use (for example, low beds, fall out mattresses and more use of sensor mats). The restraint coordinator maintains ongoing communication with families and supports and encourages staff to trial new methods for keeping clients safe without the use of bedrails or lap belts. The records of the resident reviewed in detail, an appropriate increase in the frequency of evaluations. The time interval was reduced from six months to four months (13 April to 30 August). Although the provider meets the requirements of this standard the improvement required in criterion 2.2.3.4 suggests that a further or even more frequent assessment and evaluation of the care provided to this resident is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staff and management and review of meeting minutes revealed that an annual quality review of restraint use and practices occurred in December 2015. The review revealed a downward trend in restraint use from the previous year due to the purchase and use of more low-low beds and sensor mats. The minutes showed there had been no adverse events. Audits revealed no non compliances at the time, no change to policy and procedures and that staff education and restraint competency assessments for care staff was occurring. The provider meets the intent of this standard.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38"/>
        <w:gridCol w:w="1280"/>
        <w:gridCol w:w="3774"/>
        <w:gridCol w:w="3587"/>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complaints register, the documentation about each matter, staff and family interviews reveal that the correct procedures for managing complaints are not being adhered to. There was a lack of detail in the register. The information on some matters only contained a staff account of the issues and no other evidence of what complainants had been told or when and how resolution has been achieved. The file of one resident reviewed in detail and interview with their family member, revealed dissatisfaction about some aspects of care and loss of belongings, yet there was no information in the complaints register or records about how or whether these matters had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complaints are listed in the register. The documented process has not been followed in four of the thirteen complaints on record. For example, a letter of acknowledgement, the offer of advocacy, explanation about the investigation and the processes to follow, how the complainant will be kept informed and there is no date or evidence that matters have been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concerns and complaints are managed according to the documented policy and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14 staff files reviewed either contained no record of a performance appraisal or revealed long gaps between performance appraisals. This was further confirmed by the electronic database which showed eight of the 17 employed RNs were overdue an appraisal. Two of the seven clinical staff interviewed said that performance appraisals were not regular.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are not occurring regularly and/or at least annually for all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Strengthen and develop the systems for ensuring that all staff engage in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a family member, review of one resident’s file in detail, observations of the resident and review of the restraint monitoring records reveals that the instructions to mobilize four times a day were not being followed. Staff were checking the restraint hourly but not attempting to move or reposition the resident while the restraint is in place. The amount of time staff spend mobilising the resident had been an ongoing issue for the family for five months. These instructions and additional reporting were initiated three weeks earlier yet adherence to the instructions had not been considered until the days of the audit. Observations showed the resident in the same sitting position for more than four hours and the records revealed the lap belt was in place for up to six hours at a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requests and monitoring of the restraint in place for one resident is not being sufficiently understood and/or complied with. A documented evaluation on 30 August, of one resident reviewed in detail, showed that the restraint coordinator had another discussion with the family who said they did not want the device removed and wanted evidence the resident was being regularly walked. The most recent care instructions (to mobilise twice every morning and afternoon shift) and new recording procedures were initiated three weeks earlier. Observations on the days of audit and the records show staff were not complying with this. The monitoring requirements and record of observation for the other restraint in use meet the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plan of care in relation to restraint use in accordance with the family’s wishes and the current condition of the resident. Ensure all staff understand and follow instructions for mobilisation and/or other positional movement.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672"/>
        <w:gridCol w:w="20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memory loss unit it was identified thru staff observations and interactions that the majority of families/whanau supporting their relatives in a new and different environment, such as the memory loss unit were struggling with different emotions and this was affecting the building of therapeutic relationships between staff and family/whanau and ongoing relationships between family/whanau and their relatives.  As a result, a family support meeting was established.  The first meeting had 17 of the 20 families attending.  The meetings now occur on alternative months and is facilitated by the unit but led by the families/whanau.  Meeting minutes and thank-you letters from relatives/whanau show topics discussed, such as different families’ journeys, emotions, and feelings of guilt, the chance to ask questions and have them answered not only by the staff but by other family members when appropriate.  Guest speakers have also attended and spoken about topics that were important to the families/whanau.   The meetings also give the staff the opportunity to discuss with families, activities that they may like to participate in or facilitate.   Thank-you letters evidenced appreciation of staff and more awareness of how the unit works and its concepts around supporting their residents.   Interviews with families/whanau at the time of audit reported that they are very appreciative of these meetings and the opportunity to talk and share their experiences and the chance to learn from others.   Staff have observed that family members/whanau appear more relaxed when they visit and are more open with communication.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 continuous improvement by demonstrating positive outcomes for residents and their relatives in developing and facilitating ongoing family support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introduction of short term care plans in September 2015 and the change in the capturing of information around infections/antibiotic use, wound documentation and other short term interventions to support clinical care it was noted by the clinical management team that staff were confused in relation to the required documentation.  Education was provided to the registered staff.  A register was developed to support staff in closing and signing of short term care plans once presenting condition/situation was resolved.   In June further training was provided in the form of tool box sessions as it was identified in staff meetings that staff were still unsure about the process of completing short term care plans, complicated by changes in senior staff and redistribution of roles.   An audit was completed in August 2016 to review the compliance of documentation with short term care plans (the focus on antibiotics) the result was 83%.  With further tool box sessions another audit was planned and completed in September 2016, the result was 100%.  Regular oversight is ongoing with planned audits for the future.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implementation of initial and now ongoing training to ensure that short term care plans/documentation are understood and completed in full has resulted in full compliance, supporting clinical care and ensuring the residents receive their antibiotics as prescribed thus a desired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Breakfast is normally served for residents in their rooms.  A small group of ladies/residents whom present with a cognitive impairment whom staff observed and documented would become anxious due to forgetting that they had had breakfast were encouraged to have breakfast in the dining room.  These residents are encouraged to make their own breakfast with supervision and support from staff in the small kitchenette in the main lounge.  This activity creates normality for the residents as individuals and as a group also allowing for socialisation.   Staff have observed and documented in the residents notes and evidenced as saying that resident was in ‘good spirits’ was ‘more settled’ having been to breakfast club.</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rated a continuous improvement for the way the breakfast club has lowered anxiety in residents with cognitive impairment.   Residents are more settled during the day.  Staff are reporting that the residents are less anxious and less repetitive in asking questions around breakfast.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Bethlehem Views Limited - Bethlehem Views</w:t>
    </w:r>
    <w:bookmarkEnd w:id="58"/>
    <w:r>
      <w:rPr>
        <w:rFonts w:cs="Arial"/>
        <w:sz w:val="16"/>
        <w:szCs w:val="20"/>
      </w:rPr>
      <w:tab/>
      <w:t xml:space="preserve">Date of Audit: </w:t>
    </w:r>
    <w:bookmarkStart w:id="59" w:name="AuditStartDate1"/>
    <w:r>
      <w:rPr>
        <w:rFonts w:cs="Arial"/>
        <w:sz w:val="16"/>
        <w:szCs w:val="20"/>
      </w:rPr>
      <w:t>22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