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Grail Movement Foundation of New Zealand Limited - Komatua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Grail Movement Foundation of New Zealand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Komatua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October 2016</w:t>
      </w:r>
      <w:bookmarkEnd w:id="7"/>
      <w:r w:rsidRPr="009418D4">
        <w:rPr>
          <w:rFonts w:cs="Arial"/>
        </w:rPr>
        <w:tab/>
        <w:t xml:space="preserve">End date: </w:t>
      </w:r>
      <w:bookmarkStart w:id="8" w:name="AuditEndDate"/>
      <w:r w:rsidR="00A4268A">
        <w:rPr>
          <w:rFonts w:cs="Arial"/>
        </w:rPr>
        <w:t>20 October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Komatua Care is an 11 bed aged care service that provides specialist secure dementia level care. At the time of audit there were 11 residents. </w:t>
      </w:r>
    </w:p>
    <w:p w:rsidRPr="00A4268A">
      <w:pPr>
        <w:spacing w:before="240" w:line="276" w:lineRule="auto"/>
        <w:rPr>
          <w:rFonts w:eastAsia="Calibri"/>
        </w:rPr>
      </w:pPr>
      <w:r w:rsidRPr="00A4268A">
        <w:rPr>
          <w:rFonts w:eastAsia="Calibri"/>
        </w:rPr>
        <w:t xml:space="preserve">This unannounced surveillance audit was conducted against the relevant Health and Disability Service Standards and the organisations contract with the district health board. The audit process included the review of resident and staff files, observations and interviews with family, management, staff and the general practitioner. </w:t>
      </w:r>
    </w:p>
    <w:p w:rsidRPr="00A4268A">
      <w:pPr>
        <w:spacing w:before="240" w:line="276" w:lineRule="auto"/>
        <w:rPr>
          <w:rFonts w:eastAsia="Calibri"/>
        </w:rPr>
      </w:pPr>
      <w:r w:rsidRPr="00A4268A">
        <w:rPr>
          <w:rFonts w:eastAsia="Calibri"/>
        </w:rPr>
        <w:t>The five previous areas for improvement were also reviewed. These have all now been sufficiently addressed. There were no new issues or shortfalls identified.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 receive full and frank information and open disclosure from staff. There are effective methods of communication for residents with cognitive impairment. There are processes in place to access interpreting services should this be required.</w:t>
      </w:r>
    </w:p>
    <w:p w:rsidRPr="00A4268A">
      <w:pPr>
        <w:spacing w:before="240" w:line="276" w:lineRule="auto"/>
        <w:rPr>
          <w:rFonts w:eastAsia="Calibri"/>
        </w:rPr>
      </w:pPr>
    </w:p>
    <w:p w:rsidRPr="00A4268A">
      <w:pPr>
        <w:spacing w:before="240" w:line="276" w:lineRule="auto"/>
        <w:rPr>
          <w:rFonts w:eastAsia="Calibri"/>
        </w:rPr>
      </w:pPr>
      <w:r w:rsidRPr="00A4268A">
        <w:rPr>
          <w:rFonts w:eastAsia="Calibri"/>
        </w:rPr>
        <w:t>A complaints management system is implemented. The complaints register contains all required and relevant information and actions taken to address any concerns. There have been no recorded complaints in 2016.</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owner/manager is suitably qualified and experienced. The manager is supported by the trustees, the registered nurse and staff.  The organisations mission, vision and philosophy are clearly identified and recorded. Annual business plans and quality plans are developed and reviewed.</w:t>
      </w:r>
    </w:p>
    <w:p w:rsidRPr="00A4268A">
      <w:pPr>
        <w:spacing w:before="240" w:line="276" w:lineRule="auto"/>
        <w:rPr>
          <w:rFonts w:eastAsia="Calibri"/>
        </w:rPr>
      </w:pPr>
      <w:r w:rsidRPr="00A4268A">
        <w:rPr>
          <w:rFonts w:eastAsia="Calibri"/>
        </w:rPr>
        <w:t>The required policies and procedures are documented and implemented. Quality related data is captured and used to improve services. Organisational risks are identified and monitored.  The adverse event reporting system is planned and coordinated.</w:t>
      </w:r>
    </w:p>
    <w:p w:rsidRPr="00A4268A">
      <w:pPr>
        <w:spacing w:before="240" w:line="276" w:lineRule="auto"/>
        <w:rPr>
          <w:rFonts w:eastAsia="Calibri"/>
        </w:rPr>
      </w:pPr>
      <w:r w:rsidRPr="00A4268A">
        <w:rPr>
          <w:rFonts w:eastAsia="Calibri"/>
        </w:rPr>
        <w:t>Systems for human resources management, processes for employment, orientation and ongoing education are in place. All staff have the required training and competencies. Staff performance is monitored.</w:t>
      </w:r>
    </w:p>
    <w:p w:rsidRPr="00A4268A">
      <w:pPr>
        <w:spacing w:before="240" w:line="276" w:lineRule="auto"/>
        <w:rPr>
          <w:rFonts w:eastAsia="Calibri"/>
        </w:rPr>
      </w:pPr>
      <w:r w:rsidRPr="00A4268A">
        <w:rPr>
          <w:rFonts w:eastAsia="Calibri"/>
        </w:rPr>
        <w:t>There are sufficient staff numbers on each shift with extra staff available as required.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on admission within the required timeframes by a registered nurse. Care staff are on duty 24 hours each day in the facility and are supported by allied health staff, the registered nurse, the resident manager and a designated general practitioner.  On call arrangements for support from senior staff are in place.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 that needs, goals and outcomes are identified and reviewed on a regular basis.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overseen by a diversional therapist,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managed as per policies and procedures, current good practice and legislation. Medication administration is consistently implemented using an electronic system.  Medications are administered by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A food safety plan and policies guide food service delivery, supported by staff with food safety qualifications. The kitchen is organised, clean and meets food safety standards.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equipment complies with legislation and a current building warrant of fitness is displayed.  Emergency procedures are documented and displayed. Regular fire drills are completed and there is a sprinkler system and call points installed in case of a fire.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and one restraint was in use at the time of audit. Restraint is only used as a last resort when all other options have been explored.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scope of the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67"/>
        <w:gridCol w:w="1280"/>
        <w:gridCol w:w="99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process meets the requirements of Right 10 of the Code. The process for making a complaint is explained as part of the admission process for residents and family. Staff are orientated to the complaints process on commencement of employment.</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confirmed that the owner/manager has an open-door policy and is approachable. Records of complaints, and a complaints register are maintained. There were no outstanding complaints at the time of audit and there have been no internal or external complaints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procedures which support open disclosure. Family members interviewed confirmed that they are informed if the resident has an incident, accident or a change in health status. Family contact is recorded in residents’ files when required. It is reported that interpreter services are available from the district health board (DHB); however there have been no residents requiring interpreting services. </w:t>
            </w:r>
          </w:p>
          <w:p w:rsidR="00EB7645" w:rsidRPr="00BE00C7" w:rsidP="00BE00C7">
            <w:pPr>
              <w:pStyle w:val="OutcomeDescription"/>
              <w:spacing w:before="120" w:after="120"/>
              <w:rPr>
                <w:rFonts w:cs="Arial"/>
                <w:b w:val="0"/>
                <w:lang w:eastAsia="en-NZ"/>
              </w:rPr>
            </w:pPr>
            <w:r w:rsidRPr="00BE00C7">
              <w:rPr>
                <w:rFonts w:cs="Arial"/>
                <w:b w:val="0"/>
                <w:lang w:eastAsia="en-NZ"/>
              </w:rPr>
              <w:t>Family, guardian or an enduring power of attorney sign the admission agreement on entry to the service. The agreement provides clear information regarding what is paid for by the service and by the resident. The required admission agreements were sighted in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three trustees, one of which is the owner/manager and one whom also works on site as a health care assistant. The owner/manager is responsible for day to day operations.  In the event of absence of the owner/manager, the other trustee is given the delegated authority to fulfil the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mission, values and goals are documented in the business plan. There is evidence that the business plan is reviewed and updated annually. The owner/ manager has been in the role for over 30 years and regularly attends education relevant to dementia care.  Education records were sampled. </w:t>
            </w:r>
          </w:p>
          <w:p w:rsidR="00EB7645" w:rsidRPr="00BE00C7" w:rsidP="00BE00C7">
            <w:pPr>
              <w:pStyle w:val="OutcomeDescription"/>
              <w:spacing w:before="120" w:after="120"/>
              <w:rPr>
                <w:rFonts w:cs="Arial"/>
                <w:b w:val="0"/>
                <w:lang w:eastAsia="en-NZ"/>
              </w:rPr>
            </w:pPr>
            <w:r w:rsidRPr="00BE00C7">
              <w:rPr>
                <w:rFonts w:cs="Arial"/>
                <w:b w:val="0"/>
                <w:lang w:eastAsia="en-NZ"/>
              </w:rPr>
              <w:t>The rest home provides care to residents who have been assessed as requiring dementia level care. The majority of residents are over 65, with two under 65. There were 11 residents on the day of the audit – eight with ARRC contracts and three with LTC contracts.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quality and risk management system.  The owner/manager is responsible for ensuring that all quality and risk management activities are implemented with clinical oversight from the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The required policies and procedures are documented. These are developed by an external consultant. Policies are linked to the Health and Disability Sector Standards, current and applicable legislation, and evidenced-based best practice guidelines. Policies are readily available to staff and staff orientation includes an introduction to the system. All documents sampled were current and controlled.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goals are developed annually. Achievement towards quality goals is documented. Quality activities and quality data are discussed and monitored through monthly staff meetings. This includes complaints, review of incidents and accidents, health and safety and the results of internal audits. Audit action forms are maintained which include all the corrective actions from the previous month. There is an annual review of all aspects of the quality and risk management programme including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are kept informed through regular newsletters. There is an annual family satisfaction survey with family indicating that they are satisfied or very satisfied with all aspects of care. This was confirmed in interviews with all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Organisational risks are documented in the business plan. Health and safety policies and procedures are documented along with a hazard management programme. There is evidence of the hazard register being updated as new hazards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evidence that adverse events are reported as required. In interview, the owner/manager understood their obligations in relation to essential notification reporting, for example Section 31 notification in the event of a pressure injury. Incident and accident management is included in staff orientation.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incidents were sampled. These provided sufficient evidence that adverse events are linked to the quality system and used as opportunities to improve services. The majority of incidents are related to behaviours of concern or falls. There is evidence that families are notified of any adverse. This was also confirmed in interviews with family members.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(RN) has a current annual practicing certificate (APC). Current practising certificates were also sighted for other health professionals who work with the organisation, for example the general practitioner (GP) and pharmacists.  All health care assistants have achieved, or are working towards, the required dementia training. All staff have a current first aid certificate and a food safety certificate was sighted for the cook.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receive an orientation on commencement of employment. Orientation checklists were sighted in all staff records sampled. The orientation includes the essential components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education is provided. The education programme includes aspects of aged care and dementia. Seven of the eight staff have completed InterRAI training, with one staff member being the consistent user. The required competencies are maintained and monitored, for example medication competencies. In addition, articles of interest are presented at staff meetings, and signed off as read by staff. This has recently included the prevention and treatment of pressure ulcers and the RN has recently attended palliative and complex wounds training which was presented by the DHB gerontology nurse practitioner.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is monitored. The required annual appraisals and skills assessments were sighted in staff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on staffing levels and skill mix. There is one to two staff members on the roster for each shift. In addition the owner/manager and one staff member live on site and provide support as required, and are on call after hours. The registered nurse is on site three days per week and the cook is onsite Monday to Friday. The owner/manager reports that additional staff are called in when required, for example during busy periods, sick leave or annual leave. This was confirmed in both family and staff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and legislation.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member observed demonstrated good knowledge and had a clear understanding of the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against the prescriptions. All medications sighted were within current use by dates. Clinical pharmacist input is provided on request. There are no controlled drugs required in the facility at present, however controlled drugs if required, are stored securely in accordance with requirements. The records of temperatures for the medicine fridge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required three 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self-administer medications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RN and recorded on an accident/incident form. The resident and/or the designated representative are advised. There is a process for comprehensive analysis of any medication errors, and compliance with this process is verified.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and is in line with recognised nutritional guidelines for older people.  The menu follows summer and winter patterns and has been reviewed by a qualified dietitian in April 2015.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high risk items, are monitored appropriately and recorded as part of the plan. The cook has undertaken a safe food handling qualification.</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observation, resident and family interviews and satisfaction surveys. Residents were seen to be given sufficient time to eat their meal in an unhurried fashion and those requiring assistance had this provided. There is sufficient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behaviour; wound; pain scale; falls risk; skin integrity; nutritional screening and depression scale to identify any deficits and to inform care planning. The sample of care plans reviewed had an integrated range of resident-related information.  All residents have current interRAI assessments completed by one of the trained interRAI assessors on site. The previous improvement regarding outcomes and risk ratings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over a 24 hour period.  The attention to meeting a range of resident’s individualised needs, including management of a diverse range of challenging behaviours was evident in all areas of service provision.  The GP interviewed, verified that medical input is sought in a timely manner, that medical orders are followed, and care provided is of a high standard. Care staff confirmed that care was provided as outlined in the documentation. A range of equipment and resources is available, suited to the level of care provided and in accordance with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The previous improvement regarding supervision of residents when in the community has been addressed. All residents are escorted by the diversional therapist.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trained diversional therapist, and caters to the specific abilities and needs of residents residing in a secure unit including the needs of the two residents under 65, over a 24hour period. The previous improvement regarding activities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resident’s needs change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The activities programme offered is in addition to enabling the residents’ participation in the day to day chores within the home.   Activities reflect residents’ goals, ordinary patterns of life and include normal community activities. Individual, group activities and regular events are offered. Examples include outings to the shops, community visits, coffee at the local café and local walks. The activities programme is discussed with family members and residents on an ongoing basis and input is sought and responded to. Resident and family interviews and satisfaction surveys demonstrated satisfaction with the programme and that information is used to improve the range of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 term care plans were consistently reviewed for infections and progress evaluated as clinically indicated (daily, weekly or fortnightly) and per the degree of risk noted during the assessment process. Other plans, such as wound management plans were evaluated each time the dressing was changed. Families/whānau interviewed and documentation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(expires 29/10/17) is publicly displayed. There have been no alterations to the building since the last certification report.</w:t>
            </w:r>
          </w:p>
          <w:p w:rsidR="00EB7645" w:rsidRPr="00BE00C7" w:rsidP="00BE00C7">
            <w:pPr>
              <w:pStyle w:val="OutcomeDescription"/>
              <w:spacing w:before="120" w:after="120"/>
              <w:rPr>
                <w:rFonts w:cs="Arial"/>
                <w:b w:val="0"/>
                <w:lang w:eastAsia="en-NZ"/>
              </w:rPr>
            </w:pPr>
            <w:r w:rsidRPr="00BE00C7">
              <w:rPr>
                <w:rFonts w:cs="Arial"/>
                <w:b w:val="0"/>
                <w:lang w:eastAsia="en-NZ"/>
              </w:rPr>
              <w:t>The environment provides safe areas that encourage purposeful walking, including access to safe outdoor areas. External areas are safely maintained and are appropriate to the resident groups and setting, with a new higher gate installed in February 2016 to minimise the risk of residents climbing over. This addresses the previous area requiring improvement.</w:t>
            </w:r>
          </w:p>
          <w:p w:rsidR="00EB7645" w:rsidRPr="00BE00C7" w:rsidP="00BE00C7">
            <w:pPr>
              <w:pStyle w:val="OutcomeDescription"/>
              <w:spacing w:before="120" w:after="120"/>
              <w:rPr>
                <w:rFonts w:cs="Arial"/>
                <w:b w:val="0"/>
                <w:lang w:eastAsia="en-NZ"/>
              </w:rPr>
            </w:pPr>
            <w:r w:rsidRPr="00BE00C7">
              <w:rPr>
                <w:rFonts w:cs="Arial"/>
                <w:b w:val="0"/>
                <w:lang w:eastAsia="en-NZ"/>
              </w:rPr>
              <w:t>The environment is conducive to the range of activities undertaken in the areas.  Efforts are made to ensure the environment is hazard free and that residents are safe.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has been approved by the New Zealand Fire Service, and there have been no changes to the building since approval has been given.  A trial evacuation (due this month) takes place six-monthly, and was last held April-2016.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had to disengage the call bell system and has replaced this with two GPS watches that are linked to individual staff cell phones. The system is only required when the residents are not within the home, and in the presence of others. Staff wear a GPS watch and the resident wears a tracking device, when they leave the facility. The staff can then request assistance from other staff, by activating the watch which is connected to the facility’s phone.  Residents, while always supervised when leaving the facility, can be tracked if they happen to wander off by themselves. </w:t>
            </w:r>
          </w:p>
          <w:p w:rsidR="00EB7645" w:rsidRPr="00BE00C7" w:rsidP="00BE00C7">
            <w:pPr>
              <w:pStyle w:val="OutcomeDescription"/>
              <w:spacing w:before="120" w:after="120"/>
              <w:rPr>
                <w:rFonts w:cs="Arial"/>
                <w:b w:val="0"/>
                <w:lang w:eastAsia="en-NZ"/>
              </w:rPr>
            </w:pPr>
            <w:r w:rsidRPr="00BE00C7">
              <w:rPr>
                <w:rFonts w:cs="Arial"/>
                <w:b w:val="0"/>
                <w:lang w:eastAsia="en-NZ"/>
              </w:rPr>
              <w:t>There is an emergency button that can be called at any time. The call will ring on the phone in the service and on the cell phones connected to the system. The owner/manager confirmed that they can respond to the call on the phone when they are on call.</w:t>
            </w:r>
          </w:p>
          <w:p w:rsidR="00EB7645" w:rsidRPr="00BE00C7" w:rsidP="00BE00C7">
            <w:pPr>
              <w:pStyle w:val="OutcomeDescription"/>
              <w:spacing w:before="120" w:after="120"/>
              <w:rPr>
                <w:rFonts w:cs="Arial"/>
                <w:b w:val="0"/>
                <w:lang w:eastAsia="en-NZ"/>
              </w:rPr>
            </w:pPr>
            <w:r w:rsidRPr="00BE00C7">
              <w:rPr>
                <w:rFonts w:cs="Arial"/>
                <w:b w:val="0"/>
                <w:lang w:eastAsia="en-NZ"/>
              </w:rPr>
              <w:t>The previous improvement regarding the call system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surveillance programme is maintained.  Surveillance data was sighted and included infection details related to files sampled.  Infection control surveillance monthly analysis is completed and reported at monthly staff meetings. The infection control surveillance is appropriate to the size of the service.</w:t>
            </w:r>
          </w:p>
          <w:p w:rsidR="00EB7645" w:rsidRPr="00BE00C7" w:rsidP="00BE00C7">
            <w:pPr>
              <w:pStyle w:val="OutcomeDescription"/>
              <w:spacing w:before="120" w:after="120"/>
              <w:rPr>
                <w:rFonts w:cs="Arial"/>
                <w:b w:val="0"/>
                <w:lang w:eastAsia="en-NZ"/>
              </w:rPr>
            </w:pPr>
            <w:r w:rsidRPr="00BE00C7">
              <w:rPr>
                <w:rFonts w:cs="Arial"/>
                <w:b w:val="0"/>
                <w:lang w:eastAsia="en-NZ"/>
              </w:rPr>
              <w:t>Information gathered is clearly documented in the infection log maintained by the infection control coordinator. Surveillance for infection was carried out in accordance with agreed objectives, priorities, and methods that have been specified in the infection control programme. Infection control processes are in place and documented. Infections were investigated and appropriate plans of action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Staff demonstrated a sound understanding of the organisation’s policies, procedures, and practices and their responsibilities in relation to restraint and enablers.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one resident was requiring the use of a restraint and no residents were requiring the use of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Grail Movement Foundation of New Zealand Limited - Komatua Care Centre</w:t>
    </w:r>
    <w:bookmarkEnd w:id="58"/>
    <w:r>
      <w:rPr>
        <w:rFonts w:cs="Arial"/>
        <w:sz w:val="16"/>
        <w:szCs w:val="20"/>
      </w:rPr>
      <w:tab/>
      <w:t xml:space="preserve">Date of Audit: </w:t>
    </w:r>
    <w:bookmarkStart w:id="59" w:name="AuditStartDate1"/>
    <w:r>
      <w:rPr>
        <w:rFonts w:cs="Arial"/>
        <w:sz w:val="16"/>
        <w:szCs w:val="20"/>
      </w:rPr>
      <w:t>20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