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Cambridge Resthaven Trust Board Incorporated - Cambridge Resthaven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Cambridge Resthaven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Cambridge Resthaven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2016</w:t>
      </w:r>
      <w:bookmarkEnd w:id="7"/>
      <w:r w:rsidRPr="009418D4">
        <w:rPr>
          <w:rFonts w:cs="Arial"/>
        </w:rPr>
        <w:tab/>
        <w:t xml:space="preserve">End date: </w:t>
      </w:r>
      <w:bookmarkStart w:id="8" w:name="AuditEndDate"/>
      <w:r w:rsidR="00A4268A">
        <w:rPr>
          <w:rFonts w:cs="Arial"/>
        </w:rPr>
        <w:t>28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Cambridge Resthaven is a community trust aged care service that provides rest home, hospital and secure dementia level of care for up to 92 residents. At the time of audit there were 76 residents (28 hospitals, 31 rest home and 17 living in the secure dementia unit), these numbers include four younger people under the age of 65. </w:t>
      </w:r>
    </w:p>
    <w:p w:rsidRPr="00A4268A">
      <w:pPr>
        <w:spacing w:before="240" w:line="276" w:lineRule="auto"/>
        <w:rPr>
          <w:rFonts w:eastAsia="Calibri"/>
        </w:rPr>
      </w:pPr>
      <w:r w:rsidRPr="00A4268A">
        <w:rPr>
          <w:rFonts w:eastAsia="Calibri"/>
        </w:rPr>
        <w:t xml:space="preserve">A certification audit was conducted against the relevant Health and Disability Services Standards and the service’s contract with the district health board. The audit process included an offsite and onsite review of documentation, observations and interviews. Interviews were conducted with governance, management, clinical and non-clinical staff, residents, family/whanau and a general practitioner to verify the documented evidence. </w:t>
      </w:r>
    </w:p>
    <w:p w:rsidRPr="00A4268A">
      <w:pPr>
        <w:spacing w:before="240" w:line="276" w:lineRule="auto"/>
        <w:rPr>
          <w:rFonts w:eastAsia="Calibri"/>
        </w:rPr>
      </w:pPr>
      <w:r w:rsidRPr="00A4268A">
        <w:rPr>
          <w:rFonts w:eastAsia="Calibri"/>
        </w:rPr>
        <w:t xml:space="preserve">There is one area of required improvement identified at this audit related to the level of documentation of the care evaluations. The strengths of the service include the implementation of the quality projects, specifically related to gaining increased outcomes in the quality of life of residents, this has gained an excellence rating (continuous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their families are informed of their rights at admission and throughout their stay. Available throughout the facility are copies of the Code of Rights posters and information relating to the Nationwide Health and Disability Advocacy Service. </w:t>
      </w:r>
    </w:p>
    <w:p w:rsidRPr="00A4268A">
      <w:pPr>
        <w:spacing w:before="240" w:line="276" w:lineRule="auto"/>
        <w:rPr>
          <w:rFonts w:eastAsia="Calibri"/>
        </w:rPr>
      </w:pPr>
      <w:r w:rsidRPr="00A4268A">
        <w:rPr>
          <w:rFonts w:eastAsia="Calibri"/>
        </w:rPr>
        <w:t>Residents receive clinical services that have regard for their dignity, privacy and independence. The residents' ethnic, cultural and spiritual values are assessed at admission to ensure they receive services that respect their individual values and beliefs.</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 xml:space="preserve">Evidence was seen of informed consent and open disclosure in residents' files reviewed. The advocacy service visits regularly for staff education and attendance at residents' meetings. </w:t>
      </w:r>
    </w:p>
    <w:p w:rsidRPr="00A4268A">
      <w:pPr>
        <w:spacing w:before="240" w:line="276" w:lineRule="auto"/>
        <w:rPr>
          <w:rFonts w:eastAsia="Calibri"/>
        </w:rPr>
      </w:pPr>
      <w:r w:rsidRPr="00A4268A">
        <w:rPr>
          <w:rFonts w:eastAsia="Calibri"/>
        </w:rPr>
        <w:t>The resident and families report the service has an easy to use complaints management system. There is a complaints register that contains any complaint received and actions taken to address any shortfalls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is a community charitable trust. The mission, vision and direction of the service is clearly dominant in strategic and governance records. Cambridge Resthaven has a documented and implemented quality and risk management system that supports the provision of clinical care and support. The service uses an international business excellence framework in their strategic planning and quality system implementation. </w:t>
      </w:r>
    </w:p>
    <w:p w:rsidRPr="00A4268A">
      <w:pPr>
        <w:spacing w:before="240" w:line="276" w:lineRule="auto"/>
        <w:rPr>
          <w:rFonts w:eastAsia="Calibri"/>
        </w:rPr>
      </w:pPr>
      <w:r w:rsidRPr="00A4268A">
        <w:rPr>
          <w:rFonts w:eastAsia="Calibri"/>
        </w:rPr>
        <w:t xml:space="preserve">The general manager is suitably qualified and experienced to run the service. The general manager reports to the chief executive officer, who reports to the Board of Trustees. The general manager is also supported by the clinical and non-clinical members of the management team. </w:t>
      </w:r>
    </w:p>
    <w:p w:rsidRPr="00A4268A">
      <w:pPr>
        <w:spacing w:before="240" w:line="276" w:lineRule="auto"/>
        <w:rPr>
          <w:rFonts w:eastAsia="Calibri"/>
        </w:rPr>
      </w:pPr>
      <w:r w:rsidRPr="00A4268A">
        <w:rPr>
          <w:rFonts w:eastAsia="Calibri"/>
        </w:rPr>
        <w:t>Policies are developed by an external consultant and are reviewed by the management team annually. The quality and risk performance is reported and monitored by the management team. Review of service delivery in the quality systems includes incidents/accidents, infections, complaints and reports from the internal audit programme. Key performance indicators are developed and based on the internationally recognised quality business excellence framework to match the business plan. These are reported and measured as identified on the care and processes matrices, balanced score card and external benchmarking.</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Systems for human resources management are established. There are adequate staff numbers each shift to meet the residents’ needs at the various levels of care. The education programme for all staff is available and planned for the year.</w:t>
      </w:r>
    </w:p>
    <w:p w:rsidRPr="00A4268A">
      <w:pPr>
        <w:spacing w:before="240" w:line="276" w:lineRule="auto"/>
        <w:rPr>
          <w:rFonts w:eastAsia="Calibri"/>
        </w:rPr>
      </w:pPr>
      <w:r w:rsidRPr="00A4268A">
        <w:rPr>
          <w:rFonts w:eastAsia="Calibri"/>
        </w:rPr>
        <w:t xml:space="preserve">The confidentiality of resident’s record is maintained. There is no private information on public display.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implemented in a timely manner. Documented interventions are sufficiently detailed to address the desired goals/outcomes. Improvement is required in relation to evaluating the resident’s goals/desired outcomes. Short term care plans are consistently developed when acute conditions are identified. Planned activities are appropriate to the needs, age and culture of the residents who reported that the activities are enjoyable and meaningful to them.</w:t>
      </w:r>
    </w:p>
    <w:p w:rsidRPr="00A4268A" w:rsidP="00621629">
      <w:pPr>
        <w:spacing w:before="240" w:line="276" w:lineRule="auto"/>
        <w:rPr>
          <w:rFonts w:eastAsia="Calibri"/>
        </w:rPr>
      </w:pPr>
      <w:r w:rsidRPr="00A4268A">
        <w:rPr>
          <w:rFonts w:eastAsia="Calibri"/>
        </w:rPr>
        <w:t xml:space="preserve">The medicine management system meets the required regulations and guidelines. </w:t>
      </w:r>
    </w:p>
    <w:p w:rsidRPr="00A4268A" w:rsidP="00621629">
      <w:pPr>
        <w:spacing w:before="240" w:line="276" w:lineRule="auto"/>
        <w:rPr>
          <w:rFonts w:eastAsia="Calibri"/>
        </w:rPr>
      </w:pPr>
      <w:r w:rsidRPr="00A4268A">
        <w:rPr>
          <w:rFonts w:eastAsia="Calibri"/>
        </w:rPr>
        <w:t>Food services meet the food safety guidelines and legislation. The individual food, fluids and nutritional needs of the residents are met. Reviewed resident files evidenced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with a current building warrant of fitness displayed. Ongoing maintenance ensures the building is maintained to meet the needs of the residents. Fixtures, fittings, floor and wall surfaces are made of acceptable materials for this environment. </w:t>
      </w:r>
    </w:p>
    <w:p w:rsidRPr="00A4268A">
      <w:pPr>
        <w:spacing w:before="240" w:line="276" w:lineRule="auto"/>
        <w:rPr>
          <w:rFonts w:eastAsia="Calibri"/>
        </w:rPr>
      </w:pPr>
      <w:r w:rsidRPr="00A4268A">
        <w:rPr>
          <w:rFonts w:eastAsia="Calibri"/>
        </w:rPr>
        <w:t xml:space="preserve">The environment is appropriate for rest home/hospital and specialist dementia level of care services. All areas ensure physical privacy is maintained and have adequate space and amenities to facilitate independence. </w:t>
      </w:r>
    </w:p>
    <w:p w:rsidRPr="00A4268A">
      <w:pPr>
        <w:spacing w:before="240" w:line="276" w:lineRule="auto"/>
        <w:rPr>
          <w:rFonts w:eastAsia="Calibri"/>
        </w:rPr>
      </w:pPr>
      <w:r w:rsidRPr="00A4268A">
        <w:rPr>
          <w:rFonts w:eastAsia="Calibri"/>
        </w:rPr>
        <w:t>There are processes in place to protect residents, visitors, and staff from exposure to waste and infectious or hazardous substances, and to provide safe and hygienic cleaning and laundry services.</w:t>
      </w:r>
    </w:p>
    <w:p w:rsidRPr="00A4268A">
      <w:pPr>
        <w:spacing w:before="240" w:line="276" w:lineRule="auto"/>
        <w:rPr>
          <w:rFonts w:eastAsia="Calibri"/>
        </w:rPr>
      </w:pPr>
      <w:r w:rsidRPr="00A4268A">
        <w:rPr>
          <w:rFonts w:eastAsia="Calibri"/>
        </w:rPr>
        <w:t>The facility has an appropriate call system installed. There is easy access to external gardens, grounds and court yards for residents and their visitors. The physical environment minimises risk of harm, promotes safe mobility, aids independence and is appropriate to the needs of the residents. The secure dementia unit is separated from the rest home/hospital sections.</w:t>
      </w:r>
    </w:p>
    <w:p w:rsidRPr="00A4268A">
      <w:pPr>
        <w:spacing w:before="240" w:line="276" w:lineRule="auto"/>
        <w:rPr>
          <w:rFonts w:eastAsia="Calibri"/>
        </w:rPr>
      </w:pPr>
      <w:r w:rsidRPr="00A4268A">
        <w:rPr>
          <w:rFonts w:eastAsia="Calibri"/>
        </w:rPr>
        <w:t xml:space="preserve">Routine safety checks and internal audits are performed by maintenance personal and management.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which are used as the least restrictive option that allows the residents to maintain independence, comfort and safety. Risk management plans are in place to prevent restraint-related injuries. There are no residents on restraints and 16 using an enabler. Staff trainings on restraints and enablers are conducted annually. Interviewed staff demonstrated good knowledge on restraints and enablers.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prevention and control policies and procedures include comprehensive infection control programme in order to maintain low infection rate in the facility. The infection control coordinator collates and analyses monthly infection control data. The type of surveillance is appropriate to the size and complexity of the service. The infection rates are discussed in the monthly staff meetings and interventions to reduce the infections are discussed.</w:t>
      </w:r>
    </w:p>
    <w:p w:rsidRPr="00A4268A">
      <w:pPr>
        <w:spacing w:before="240" w:line="276" w:lineRule="auto"/>
        <w:rPr>
          <w:rFonts w:eastAsia="Calibri"/>
        </w:rPr>
      </w:pPr>
      <w:r w:rsidRPr="00A4268A">
        <w:rPr>
          <w:rFonts w:eastAsia="Calibri"/>
        </w:rPr>
        <w:t>Infection control experts are available and can be consulted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1"/>
        <w:gridCol w:w="1280"/>
        <w:gridCol w:w="89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Residents' rights are upheld by staff (e.g., staff knocking on residents' doors prior to entering their rooms, staff speaking to residents with respect and dignity, staff calling residents by their preferred names). Staff observed on the days of the audit demonstrated knowledge of the resident’s rights and respect these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are treated with respect and understand their rights. The families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The files reviewed of the residents living in the dementia unit confirm processes are implemented to gain information and involve the EPOA in the residents care and service delivery. The rest home and hospital residents’ files reviewed confirmed the resident and, as appropriate, family involvement in care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in the policy for advance directives which meet legislative requirements. An advance directive and advance care planning includes the resident choices for end of life care. The files reviewed had signed advance directive forms which meet legislative requirements, and staff demonstrated knowledge on how to act on the information in these.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as required, families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in brochure format at the entrance to the facility. Residents and their families are aware of their right to have support persons. This was confirmed in interview with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Education from the Nationwide Health and Disability Advocacy Service is undertaken as part of the in-service education programme. The staff report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they are supported to be able to remain in contact with the community by outings and walks to local shops and parks. Policy includes procedures to be undertaken to assist residents to access community services and a van is available. There is a portable phone which is taken to the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is responsible for complaints and there is a system in place to manage the complaints process. The complaints policy and procedure meet the requirements of Right 10 of the Code. Complaints forms are accessible in different localities around the facility (including the dementia unit) and at reception. The policy is displayed on the notice board to guide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and compliments folder (referred to as the ‘pink slip’ system). The complaints register contains all complaints, dates and actions taken. The complaints sampled for 2016 record that these are dealt with within times frames of Right 10 of the Code. There were no external complaints at the time of the onsite audit. Residents and families interviewed demonstrated an understanding and awareness of the right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details that staff will be provided with training on the Code and that residents will be provided with the Code information on entry to the service. Opportunities for discussion and clarification relating to the Code are provided to residents and their families (as confirmed by interview with the staff). Discussions relating to residents' rights and responsibilities take place formally in staff meetings and training forums and informally with the resident in their room. Education is held by the Nationwide Health and Disability Advocacy Service as part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addressed in a respectful manner and by their preferred names, as confirmed in interview with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 Staff demonstrated knowledge of residents' rights and understand dignity, respect and identifying abuse and neglect. As observed, the support and services provide in the specialist dementia unit are provided in a flexible manner that focus on minimising of challenging behaviours without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had no concerns regarding abuse or neglect, how they are treated by staff, all had high praise for the ‘quality’ of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Maori residents. A commitment to the Treaty of Waitangi is included and cultural safety competence is part of the ongoing education programme. Family/next of kin input and involvement in service delivery/decision making is sought if applicable. There were no residents who identified as Maori in the service at the time of audit. There are no known barriers to Maori accessing the service. The staff gave examples of previous residents who identified as Maori and the culturally appropriateness of the care and support provided to these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staff assess the cultural and/or spiritual needs of the resident in consultation with the resident and family as part of the admission process. Specific health issues and food preferences are identified on admission. The care plan is developed to ensure that care and services are delivered in a culturally and/or spiritually sensitive manner in accordance with the resident’s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required, a person acceptable to the resident is sought from the community to provide advice, training and support for the staff to enable the facility to meet the cultural/spiritual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monitor satisfaction. Residents and their families are satisfied with the services provided as confirmed in interviews with hospital and rest home residents and dementia unit relatives, and review of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on the need to respect individual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code of conduct and expected standard of behaviour documents sighted in staff files outlines professional boundaries. The staff verbalise they would report any inappropriate behaviour to the general manager (GM). The GM reported they would take formal action as part of the disciplinary procedure if there was an employee breach of conduct. There was no evidence of any behaviour that required reporting and interviews with residents and families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Examples included policies and procedures that are linked to evidence-based practice, regular visits by the GP, links with the local mental health services and palliative care services. There is regular in-service education and staff access external education that is focused on aged care and best practice. The service has implemented specific best practice and evidenced based programmes for pressure area prevention, wound management and innovations is supporting resident’s quality of life (refer to 1.2.3.5 for the excellence rating). The services have contributed to a district health board (DHB) project on wound management in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were satisfied with the relevance of the education provided. The residents, families and GP all expressed high satisfaction with the care delivered. Particular praise for the knowledge, skills and best practice expectations of the general manager and clinical manager were expressed.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These can be contacted via the DHB or interpreting services (including sign language). There are a number of staff from different cultural and linguistically diverse backgrounds and they can assist in interpreting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that all aspects of care and service provision are discussed with the resident and their family/whanau prior to/or at the admission meeting. The incident reporting processes evidence open disclosure. The families indicated when and what type of incident/accident/change in condition they would like to be informed about. Staff make adequate time to talk with residents and families. The staff reported that since the induction of the Namaste philosophy (refer to 1.2.3.5), they have been able to spend increased time in meaningful conversations and interactions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planned to meet the needs at the younger and older residents at rest home, hospital and secure dementia level of care. The care facility is set within a retirement community/village. The aged care facility has maximum of 92 residents. There is a 20 bed secure dementia unit, one 4 bed wing that is solely rest home and 56 dual purposes beds (either rest home or hospital level of care). There are an additional 12 apartments that are attached to the rest home/ hospital wings, though these do not currently have any resident assessed as requiring rest home level at care. At the time of audit there were 76 residents (28 hospitals, 31 rest home and 17 living in the secure dementia unit), these numbers include four younger people under the age of 65, plus the 12 people in the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 community trust, with the board of seven trustees providing the overall governance structure. The service is also part of another community charitable trust with other aged care services that provide collegial and other support to each other. A board member of the Resthaven board is on the wider community charitable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five-year strategic plan (2013-2017), that has an annual review. The board meet monthly to review the ongoing organisation performance against the key performance indicators identified in the strategic plan. The service uses an international excellence quality framework in their strategic planning, policy development and the quality improvement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chef executive officer (CEO) who is a registered nurse (RN) with management qualifications, and is employed by the board for the management of the whole retirement village complex. The CEO reports to the board monthly and has meetings with the chair of the board. The management of the aged care facility has been delegated to the general manager. The general manager reports to the 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an appropriately experienced and qualified registered nurse. The general manager’s job description describes their roles, responsibility and accountability for the provision of service in the care facility. The service is a member of an aged care association and receives updates on issues related to the management of an aged care facility. The general manager has attended over 8 hours’ education related to aged care management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and satisfaction surveys report satisfaction with the quality of care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CEO, clinical nurse leader or another RN (trained as part of the succession planning process) take on the management roles when the general manager is on leave. The general manager reports confidence in the management team to take on the general manager’s role during their temporary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members of the management team demonstrated an understanding of the quality and risk processes that are identified in policy. Staff at all levels of the service report their involvement with the ongoing quality and risk management systems. Staff stated that quality improvement was a team effort, they had increased their knowledge in this area, and that they had a better understanding of quality and risk and the significance for gaining better outcomes in care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develops and implements policies and procedures that are aligned with current good practice and service delivery, meet the requirements of legislation, and are reviewed at least two yearly. The policies are developed by an external consultant and reviewed by the appropriate team member to ensure they are reflective of best practice and reflective of Resthaven practices, approaches and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system is used to ensure all components of service delivery compliment the quality management system. The internal audits are conducted as planned in the audit schedule as well as internal audits being conducted ‘adhoc’ to address any specific issues. The action sheet that is part of the internal audit records the outcome of the audit, compares to the previous audit, makes recommendations for implementation, then records the actions to address any shortfalls identified. Internal audits were sampled for 2016, which confirm the services processes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systems implemented for quality management, the collation and analysis of data, and processes to measure achievement against the quality and risk management plan and strategic directions. Monthly surveillance is collated, benchmarked and reviewed by the management team. Benchmarking occurs with internal, national and organisational targets. Data is trended and results presented at staff and management meetings. The service has set key performance indicators that are linked to the business plan and strategic direction. The general manager provides a written report to the board on how the service is performing in the key components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conducted a number of opportunities for improvements (OFI) plans and were able to demonstrate that these are leading to increased quality of life for the residents (refer to 1.2.3.5), particularly in the project related to Namaste programme. The information related to quality systems is covered at staff meetings, as confirmed in the meeting minutes sighted. Monthly combined staff, quality and health and safety meetings have trended data and benchmarking results presented as part of the standing agenda. Meetings are used to review corrective actions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up to date risk register and quality and risk plan which identifies actual and potential risks for all levels of service. Minimisation strategies have been put in place as required. Staff education includes risk management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pressure injuries stage 3 and above. The general manager reports that there have been two fractures and a medication error in which the appropriate authorities were informed or contacted for further advice. </w:t>
            </w:r>
          </w:p>
          <w:p w:rsidR="00EB7645" w:rsidRPr="00BE00C7" w:rsidP="00BE00C7">
            <w:pPr>
              <w:pStyle w:val="OutcomeDescription"/>
              <w:spacing w:before="120" w:after="120"/>
              <w:rPr>
                <w:rFonts w:cs="Arial"/>
                <w:b w:val="0"/>
                <w:lang w:eastAsia="en-NZ"/>
              </w:rPr>
            </w:pPr>
            <w:r w:rsidRPr="00BE00C7">
              <w:rPr>
                <w:rFonts w:cs="Arial"/>
                <w:b w:val="0"/>
                <w:lang w:eastAsia="en-NZ"/>
              </w:rPr>
              <w:t>The number of incidents are collated on a monthly basis. Samples of incident/accident forms and the trended data were reviewed. Any trends identified are notified and information fed back to the board, committee meetings, staff meetings and the coaching and mentoring sessions. The service identifies strategies put in place in response to incidents and accidents and these were documented on the actual individual incident forms and on the resident`s care plan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A register is maintained of when APC and competency assessments are due. Copies of APCs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 that appropriate processes are implemented for the recruitment, employment and orientation of new staff. There are at least annual performance reviews for the staff, where training or shortfalls in staff performance or achievement of goals/outcomes are identified, support and coaching sessions implemented to assist staff achieve their desired outcomes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Training needs are identified in the annual performance appraisal process, through review of monthly quality data and staff mentoring and coaching sessions. Mandatory training to meet contractual obligations is two yearly, or more frequently for such topics as infection control and restraint minimisation and safe practice. The care staff, activities, kitchen and housekeeping staff are supported to gain appropriate national qualifications if they do not already have them. The education schedule reviewed for 2016 year has content and variety and meets all obligations of the provider’s residential care contract with the district health board and to meet the standards (including infection prevention and control and restraint minimisation). There are adequate number of RNs who are interRAI competent. The activities staff (diversional therapists) have completed specialist education and training in dementia care.</w:t>
            </w:r>
          </w:p>
          <w:p w:rsidR="00EB7645" w:rsidRPr="00BE00C7" w:rsidP="00BE00C7">
            <w:pPr>
              <w:pStyle w:val="OutcomeDescription"/>
              <w:spacing w:before="120" w:after="120"/>
              <w:rPr>
                <w:rFonts w:cs="Arial"/>
                <w:b w:val="0"/>
                <w:lang w:eastAsia="en-NZ"/>
              </w:rPr>
            </w:pPr>
            <w:r w:rsidRPr="00BE00C7">
              <w:rPr>
                <w:rFonts w:cs="Arial"/>
                <w:b w:val="0"/>
                <w:lang w:eastAsia="en-NZ"/>
              </w:rPr>
              <w:t>The staff who work in the dementia unit (including registered nurses) are required to undertake the national standards in dementia care. All staff have either completed or for new staff (under three months of employment) are in the process of completing the required education. There is an additional orientation process for the staff who work in the dementia unit. This orientation/induction includes the specific needs of the residents, including, behaviour management, de-escalation and implementing activities and therapies.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are based on the safe indicators for aged care and dementia care. The general manager reports that the allocation and skill mix of the staff is reviewed and audited (internal audit sighted) six monthly to ensure the safe staffing levels are achieved. The current roster sighted for the rest home, hospital and dementia unit indicated they exceeded the minimum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identified sick leave and annual leave is shown and replacement staff noted. There are sufficient numbers of laundry, housekeeping, activities, support and administration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residents’ files reviewed evidence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All residents’ files reviewed showed evidence of completed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and procedures provide guidelines when a resident is admitted. Admission agreements are signed by the residents or by their families and the provider. This was discussed in detail with the resident or with families by the general manager or CEO. Interviewed residents and families confirmed that they had the opportunity to discuss the admission agreement with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is the dementia unit have been assessed for specialist dementia level of care. Families are informed about how challenging behaviours are managed in the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standard transfer notification form is utilised when residents are required to be transferred to the public hospital or to another provider. Other relevant documents are included in the transfer (yellow) envelope. The clinical nurse leader reported that verbal hand overs are conducted for all transfers to other services. The resident’s current interRAI assessment summaries are provided to ensure continuity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to ensure safe delivery of medicines to the residents. Medication charts have photo identifications, allergies are documented and indications for both regular and “as required” medications are documented. Medication records are reviewed three-monthly. Weekly and six monthly controlled drugs stocktakes are conducted. The controlled drug register was correct and current.</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temperature is monitored and recorded regularly.</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when residents are discharged back to the service and actions are in place when variance are identified. A system is in place in returning expired or unwanted medications. There were no expired medications and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lunch time medications complied with the medicine administration policies and procedures. Current medication competencies are evidenced in the staff records.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self-administered medications. Policies and procedures are in place to ensure safe storage and compliance to requirements and the RNs ensured that these are followed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contracted to an external agency. Policies and procedures include food safety, ordering, storage, cooking, reheating and food handling. A system is in place in receiving and utilising supplies. All meals are cooked onsite. Staff working in the kitchen received an induction programme and all have current food handling certificates. The kitchen staff use safe food handling practices when preparing meals. Residents are provided with meals that meet their food, fluids and nutritional needs. Dietary forms are completed by the admitting RN and the kitchen is provided a copy. Additional or modified foods are also provided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food temperatures are monitored and recorded daily. Cooked meals are plated from the kitchen to the main dining area while meals for the other dining areas and dementia unit are transported in an insulated trolley. There are bain marie’s in use to ensure that meals are served warm.</w:t>
            </w:r>
          </w:p>
          <w:p w:rsidR="00EB7645" w:rsidRPr="00BE00C7" w:rsidP="00BE00C7">
            <w:pPr>
              <w:pStyle w:val="OutcomeDescription"/>
              <w:spacing w:before="120" w:after="120"/>
              <w:rPr>
                <w:rFonts w:cs="Arial"/>
                <w:b w:val="0"/>
                <w:lang w:eastAsia="en-NZ"/>
              </w:rPr>
            </w:pPr>
            <w:r w:rsidRPr="00BE00C7">
              <w:rPr>
                <w:rFonts w:cs="Arial"/>
                <w:b w:val="0"/>
                <w:lang w:eastAsia="en-NZ"/>
              </w:rPr>
              <w:t>The meals were well-presented. Interviewed residents confirmed that they are provided with alternative meals when required. All residents are weighed monthly and residents with weight changes are either provided with food supplements or smoothies. Additional nutritional foods are available to the residents over the 24-hour period. The chef also reported that they provide fortified foods are per instruction by the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There are processes in place when a resident is declined from entry to the service. Potential residents are referred to other nearby providers when needed. The general manager reported that the needs assessors from the district health board provide the service with completed level of care assessments to ensure the suitability of the potential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(RNs) admit residents using standardised risk assessment tools. Individual assessments are sighted in relation to personal needs, behaviour and recreational requirements of residents. Residents are assessed using the interRAI assessment tools within the required time frames. There are six interRAI competent staff conducting interRAI assessments. Trends are generated after completing interRAI assessments and these are all addressed in the reviewed long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personalised. There is evidence that the service promotes continuity of care and the goals are specific. The RNs develop and implement long term care plans. A 24-hour management plan is in place for all residents in the dementia unit and behaviour management plans are in place for residents with challenging behaviours. Short term care plans are developed when acute conditions are identified. Residents and families are involved in the development of the long term care plans. Staff are informed regarding changes in care plans through hand overs and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in each shift during handover. Documented interventions are sufficiently detailed to address the desired goals/outcomes. Short term care plan interventions addressed the issues identified when a resident developed an acute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Individual activity plans sighted reflected the residents’ preferred activities gathered during the interview with the residents and families. The service commenced a programme called “Namaste” which involves one-on-one activities with the residents when they are unwell on not participating in activities. Residents with cognitive impairment are provided with one-on-one activities as well. A participation log is maintained. An individual 24-hour activity plans are in place for all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(DTs), one of which develops the annual activity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evaluated in a timely manner and the resident’s response to the treatment regime is documented. The diversional therapists evaluated the activity plans every six months or more frequently when required. There was no evidence that the resident’s goals in the long term care plans are evaluated to indicate the degree of achievement in relation to the interventions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and transition of residents. There was evidence that residents were referred by the GP or by the RNs to other specialist services. Residents and families are kept informed of the referrals made by the service. Internal referrals are facilitated by the clinical nurse leader. Interviewed staff confirmed that they can refer residents to the physiotherapist when residents have changes in mobility or to a dietitian when weight changes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policies are effectively implemented. The contracted cleaning company also has a cleaning, technical and operations manual that meets the requirements of the standards. Staff receive training and education on waste management and the handling of hazardous substances. Personal protective equipment (PPE) is available and observed to be used appropriately. Chemical safety data sheets are located where chemicals and hazards substances are stored. The staff demonstrated knowledge on the use of PPE, safety data sheets and the handling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in May 2017. There is a planned maintenance schedule as well as a reactive maintenance programme to new issues that may arise. Medical equipment (including hoists) are calibrated annually, with these last being conducted in November 2015. The electrical equipment evidenced test and tag labels, testing last conducted in May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fitted with hand rails that assist with mobility. The corridors are wide enough for residents and their mobility aids. There is access to external areas and courtyards. The secure dementia unit has areas that are designed for residents to wander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satisfaction with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mix of ensuite and communal use toilets and showers. Communal facilities are conveniently located in each of the wings that do not have ensuite facilities. The communal facilities have appropriate signage and privacy signage. The residents and families reported satisfaction with the access to and privacy of toilet and shower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shared rooms, with all other rooms being single occupancy. In the shared rooms there is privacy screening and enough space for each of the residents. The staff, residents and families reported overall satisfaction with the space in each of the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wings have dining, lounge and entertainment areas. The dementia facilities are separated from the rest home/hospital sections of the service. There are additional larger and smaller rooms for entertainment or quiet activities. The residents and families reported satisfaction with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services are conducted offsite by a contracted company. There are appropriate processes to maintain a dirty to clean flow of the laundry and the returning of clothing to the residents. The laundry processes are monitored through in the internal auditing system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is conducted by contracted staff. The cleaning trollies are securely stored when not in use. There is a monthly site inspection by the company to monitor the effectiveness of the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satisfaction with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17 September 2014. Staff receive training at orientation and as part of the ongoing education programme in responding to emergency and civil defence situations. Evacuation drills are conducted six monthly, with the last one being conducted July 2016 (trial evacuation report sighted). In an emergency there is back up gas for cooking and heating. The service is fitted with emergency lighting, the civil defence kits sighted have emergency supplies. The service has an arrangement with an external organisation for the supply of drinking water in an emergency, with access to stored water also available onsite. </w:t>
            </w:r>
          </w:p>
          <w:p w:rsidR="00EB7645" w:rsidRPr="00BE00C7" w:rsidP="00BE00C7">
            <w:pPr>
              <w:pStyle w:val="OutcomeDescription"/>
              <w:spacing w:before="120" w:after="120"/>
              <w:rPr>
                <w:rFonts w:cs="Arial"/>
                <w:b w:val="0"/>
                <w:lang w:eastAsia="en-NZ"/>
              </w:rPr>
            </w:pPr>
            <w:r w:rsidRPr="00BE00C7">
              <w:rPr>
                <w:rFonts w:cs="Arial"/>
                <w:b w:val="0"/>
                <w:lang w:eastAsia="en-NZ"/>
              </w:rPr>
              <w:t>There call bell system includes audible and visual alerts, a light comes on above the resident’s door and there is a central display panel to alert staff as to the room that has rung.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security company conducts night time security rounds of the perimeter of the building. The afternoon and night staff lock external windows and doors as part of their 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are appropriately heated and ventilated, with at least one external window/sliding door in resident areas for natural light and ventilation. The residents and family reported satisfaction with the light, heating and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RN is the designated infection control coordinator. The responsibilities of the infection control coordinator (ICC) are clearly defined which includes collating, analysing and trending the monthly infection rates. Infection rates and ways to reduce infections are discussed in the monthly staff meetings as well as in the clinical meetings and weekly debriefs in the units. The service utilises the support of an external infection control expert as well as the infection control nurse from the public hospital.</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encouraged not to visit when unwell. There are adequate hand basins for the staff, residents and visitors to use. </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policies and procedures are readily available for the staff in the main rest home &amp; hospital nurses’ station where the staff working in the dementia unit can access these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with the support of another RN are responsible in facilitating infection prevention and control activities in the facility. They are responsible in implementing and evaluating the effectiveness of the infection control programme. The GP reported that RNs contact the medical centre when residents developed acute conditions. An external infection control expert provides advice to the ICC. Staff demonstrated knowledge in preventing the spread of infection and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in the facility. Sighted policies align with the current accepted good practice and relevant legislative requirements. Policies are readily available for the staff and procedures are simple, practical, safe and suitable for the type of service provided. Best practice is reflected in their everyday service delivery. Infection prevention and control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to staff during orientation and as a component of their ongoing education programme. The ICC and the support RN attended annual infection control update. Residents and families are provided with advice in relation to infection prevention and control activities. Staff demonstrated knowledge on infection prevention and control as well as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Education record regarding infection and control in-service trainings is maintained by the ICC.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rates is carried out in accordance with agreed objectives and methods in the infection control programme. Surveillance activities are appropriate to the size and setting of the service. Infection rates are monitored, collected and analysed by the ICC. Infection rates are discussed in the monthly staff and clinical meetings as well in the weekly debriefs in the units. Recommendations to reduce, manage and prevent the spread of infections are discussed as sighted in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 service benchmark their monthly infection rates with other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were no residents using restraints and 16 residents using enablers. The restraint/enabler register is current and updated. The policies and procedures have clear definitions of restraints and enablers. Staff knowledge regarding restraints and enablers as well as the risk management plan in place to prevent restraint or enabler-related injuries.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6"/>
        <w:gridCol w:w="1280"/>
        <w:gridCol w:w="3054"/>
        <w:gridCol w:w="3738"/>
        <w:gridCol w:w="15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evaluated and the resolutions of the acute conditions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Nine of nine resident files reviewed had no detailed documentation of the evaluation of goals and progress towards meeting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residents’ goals/desired outcomes are evaluated and the residents’ response to the interventions to achieve the desired outcomes are not detailed.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goals/desired outcomes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6660"/>
        <w:gridCol w:w="45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conducted a number of quality improvement projects in 2015 and 2016. Some of the projects sampled are related to wound management, the resident model of care (Namaste) and a benchmarking programme. Each of the opportunities for improvement plans have measurable improvement indicators. Resident satisfaction is measured as part of the review, which includes resident and family satisfaction and achievements against benchmarking and the measurable improvements indicators. The reporting of the analysis and outcomes of the project are presented to the board of trustees, quality meetings, staff meetings and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Namaste – Quality of Life project was developed for staff to spend quality time with residents who could no longer participate effectively in the activities programme or who could no longer communicate verbally. The project included reporting of the measurable improvement indicators. The results of the project and ongoing implementation record positive outcomes (through satisfaction surveys and feedback from families). The staff report that the Namaste philosophy has provided them with greater opportunities to spend individualised quality time with residents and they are seeing outcomes for residents including falls reduction and increased happiness (singing and smiling). The residents and families reported that the staff spending time, and how they are communicated with, is a strength of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projects and quality management systems is rated beyond the expected full attainment. The quality improvement projects, in particular reference to the Namaste philosophy, have a documented review process which includes analysis and reporting of findings to management, the board of trustees, staff and residents. The projects documentation evidences action taken based on findings and improvement to service provision. Resident and family satisfaction have been measured, through family feedback, as a result of the review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Cambridge Resthaven Trust Board Incorporated - Cambridge Resthaven</w:t>
    </w:r>
    <w:bookmarkEnd w:id="58"/>
    <w:r>
      <w:rPr>
        <w:rFonts w:cs="Arial"/>
        <w:sz w:val="16"/>
        <w:szCs w:val="20"/>
      </w:rPr>
      <w:tab/>
      <w:t xml:space="preserve">Date of Audit: </w:t>
    </w:r>
    <w:bookmarkStart w:id="59" w:name="AuditStartDate1"/>
    <w:r>
      <w:rPr>
        <w:rFonts w:cs="Arial"/>
        <w:sz w:val="16"/>
        <w:szCs w:val="20"/>
      </w:rPr>
      <w:t>27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