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Glengarry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Glengarry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August 2016</w:t>
      </w:r>
      <w:bookmarkEnd w:id="7"/>
      <w:r w:rsidRPr="009418D4">
        <w:rPr>
          <w:rFonts w:cs="Arial"/>
        </w:rPr>
        <w:tab/>
        <w:t xml:space="preserve">End date: </w:t>
      </w:r>
      <w:bookmarkStart w:id="8" w:name="AuditEndDate"/>
      <w:r w:rsidR="00A4268A">
        <w:rPr>
          <w:rFonts w:cs="Arial"/>
        </w:rPr>
        <w:t>4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Glengarry rest home and hospital is part of the Bupa group.  The service is certified to provide rest home, hospital (medical and geriatric) and dementia level care for up to 41 residents.  On the day the audit, there were 26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care home manager is appropriately qualified and experienced.  Feedback from residents and relatives is positive.  </w:t>
      </w:r>
    </w:p>
    <w:p w:rsidRPr="00A4268A">
      <w:pPr>
        <w:spacing w:before="240" w:line="276" w:lineRule="auto"/>
        <w:rPr>
          <w:rFonts w:eastAsia="Calibri"/>
        </w:rPr>
      </w:pPr>
      <w:r w:rsidRPr="00A4268A">
        <w:rPr>
          <w:rFonts w:eastAsia="Calibri"/>
        </w:rPr>
        <w:t>One of two shortfalls identified at the previous audit have been addressed relating to reporting of quality outcomes to staff.  Further improvement is required around interventions.</w:t>
      </w:r>
    </w:p>
    <w:p w:rsidRPr="00A4268A">
      <w:pPr>
        <w:spacing w:before="240" w:line="276" w:lineRule="auto"/>
        <w:rPr>
          <w:rFonts w:eastAsia="Calibri"/>
        </w:rPr>
      </w:pPr>
      <w:r w:rsidRPr="00A4268A">
        <w:rPr>
          <w:rFonts w:eastAsia="Calibri"/>
        </w:rPr>
        <w:t xml:space="preserve">Improvements identified at this surveillance audit include staff attendance at training.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changes in resident’s health.  The care home manager and clinical manager have an open door policy.  Complaints processes are implemented and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Glengarry rest home and hospital has an established quality and risk management system that supports the provision of clinical care and support.  An annual resident/relative satisfaction survey is completed and there are regular resident/relative meetings.  The service is benchmarked against other Bupa facilities.  Incidents are documented and there is follow-up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Staffing levels are appropriate.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 three 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included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There are activities programmes in place for the rest home, dementia unit and hospital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and baking is done on site.  All residents' nutritional needs are identified and documented.  Choices are available and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Bupa restraint policy includes comprehensive restraint procedures including restraint minimisation.  A documented definition of restraint and enablers aligns with the definition in the standards.  There are two residents with enablers being used.  Enabler use is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number of complaints received each month is reported to care services via the facility benchmarking spreadsheet, and issues arising from complaints are reported to the monthly staff/quality meeting and registered nurse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prominent around the facility on noticeboards.  A complaint management record is completed for each complaint.  A record of all complaints per month is maintained by the facility using the complaint register.  Documentation including follow-up letters and resolution reviewed, demonstrated that complaints are well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to the Health and Disability Commissioner Service (March 2015) has been followed up and addressed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confirmed they were provided with information on complaints and complaints forms.  Complaints reviewed were well documented including investigation, follow-up letter and resolution.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regarding open disclosure and communication with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have a section to indicate if family/whānau have been informed (or not) of an accident/incident.  </w:t>
            </w:r>
          </w:p>
          <w:p w:rsidR="00EB7645" w:rsidRPr="00BE00C7" w:rsidP="00BE00C7">
            <w:pPr>
              <w:pStyle w:val="OutcomeDescription"/>
              <w:spacing w:before="120" w:after="120"/>
              <w:rPr>
                <w:rFonts w:cs="Arial"/>
                <w:b w:val="0"/>
                <w:lang w:eastAsia="en-NZ"/>
              </w:rPr>
            </w:pPr>
            <w:r w:rsidRPr="00BE00C7">
              <w:rPr>
                <w:rFonts w:cs="Arial"/>
                <w:b w:val="0"/>
                <w:lang w:eastAsia="en-NZ"/>
              </w:rPr>
              <w:t>Incident forms reviewed identified that family were notified.  As part of the internal auditing system, incident/accident forms are audited and a criterion is identified around informing family.  Families and residents provide instructions to staff regarding when and how they would like family to be contacted.  This is documented in the resident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 interviewed stated that they are always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and contact details of interpreters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Glengarry provides rest home, hospital (geriatric and medical) and dementia level care for up to 41 residents.  On the day of audit, there were 26 residents.  The service provides care for a psychogeriatric resident in the dementia unit.  There is DHB approval for this resident.  There were five dementia residents and one psychogeriatric resident in the nine bed dementia unit.  The 32 beds in the hospital and rest home wings are dual-purpose.  There were eight hospital level residents (including one resident under the younger person disabled contract, YPD) and twelve rest home level residents.  With the exception of the YPD resident, all residents were under the ARRC contract.  There were no respite residents.</w:t>
            </w:r>
          </w:p>
          <w:p w:rsidR="00EB7645" w:rsidRPr="00BE00C7" w:rsidP="00BE00C7">
            <w:pPr>
              <w:pStyle w:val="OutcomeDescription"/>
              <w:spacing w:before="120" w:after="120"/>
              <w:rPr>
                <w:rFonts w:cs="Arial"/>
                <w:b w:val="0"/>
                <w:lang w:eastAsia="en-NZ"/>
              </w:rPr>
            </w:pPr>
            <w:r w:rsidRPr="00BE00C7">
              <w:rPr>
                <w:rFonts w:cs="Arial"/>
                <w:b w:val="0"/>
                <w:lang w:eastAsia="en-NZ"/>
              </w:rPr>
              <w:t>Glengarry has set specific quality goals for 2016 and there is monthly review of all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Glengarry is an experienced manager and registered nurse, with a current practising certificate.  The manager has an aged residential care background.  She is supported by a clinical manager (registered nurse) who oversees clinical care and has been in the role for one year.  The management team was supported by the wider Bupa management team that included an operations manager.  Bupa provides a comprehensive orientation and training/support programme for their managers.  Managers and clinical managers attend annual forums and regional forums six monthly.  The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Policies are current and staff are informed of updates and changes.</w:t>
            </w:r>
          </w:p>
          <w:p w:rsidR="00EB7645" w:rsidRPr="00BE00C7" w:rsidP="00BE00C7">
            <w:pPr>
              <w:pStyle w:val="OutcomeDescription"/>
              <w:spacing w:before="120" w:after="120"/>
              <w:rPr>
                <w:rFonts w:cs="Arial"/>
                <w:b w:val="0"/>
                <w:lang w:eastAsia="en-NZ"/>
              </w:rPr>
            </w:pPr>
            <w:r w:rsidRPr="00BE00C7">
              <w:rPr>
                <w:rFonts w:cs="Arial"/>
                <w:b w:val="0"/>
                <w:lang w:eastAsia="en-NZ"/>
              </w:rPr>
              <w:t>Glengarry has implemented the Bupa quality and risk management system.  Key components of the quality management system link to the monthly quality/staff meetings, monthly registered nurses’ meetings, monthly infection control meetings and two monthly health and safety meetings.  Minutes of meetings document comprehensive reporting of quality data and outcomes.  The previous audit finding has been addressed.  Weekly reports by the manager to Bupa operations manager, and quality indicator reports to the Bupa quality coordinator, provide a coordinated process between service level and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accident/incident and infection benchmarking reports are provided to Glengarry for rest home, hospital and dementia level care.  Internal audits are completed according to the Bupa schedule.  Corrective action plans are developed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internal audit process is fully implemented including action plans and corrective actions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hazard management, health and safety and risk management programme in place.  There are facility goals around health and safety.  The health and safety committee meets two monthly and there is a current hazard register in place.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a falls prevention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all incidents/accidents.  Individual incident reports are completed for each incident/accident with immediate action noted.  The data is linked to the organisation's benchmarking programme and this is used for comparative purposes.  Incidences of any data set over the Bupa ranges have an action plan documented.  Action plans are documented as followed up.</w:t>
            </w:r>
          </w:p>
          <w:p w:rsidR="00EB7645" w:rsidRPr="00BE00C7" w:rsidP="00BE00C7">
            <w:pPr>
              <w:pStyle w:val="OutcomeDescription"/>
              <w:spacing w:before="120" w:after="120"/>
              <w:rPr>
                <w:rFonts w:cs="Arial"/>
                <w:b w:val="0"/>
                <w:lang w:eastAsia="en-NZ"/>
              </w:rPr>
            </w:pPr>
            <w:r w:rsidRPr="00BE00C7">
              <w:rPr>
                <w:rFonts w:cs="Arial"/>
                <w:b w:val="0"/>
                <w:lang w:eastAsia="en-NZ"/>
              </w:rPr>
              <w:t>Eight resident related incident reports were reviewed for this audit.  Incident forms reviewed documented immediate follow-up by a registered nurse, including commencement of neurological observations for all unwitnessed falls or falls with a possible head injury.  However, neurological observations were not completed according to Bupa timeframes (link 1.3.6.1).  All pressure injuries had been reported as incidents and are benchmarked.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service management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reviewed (two registered nurses, one a clinical manager and three caregivers) included appropriate employment documentation and up-to-date performance appraisals and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including around caring for those with dementia.  The orientation programme is developed specifically to worker type (eg, RN, support staff) and includes documented competencies.  Completed orientation booklets are on staff files.  Staff interviewed were able to describe the orientation process and stated that they believed that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schedule is being implemented.  In addition, opportunistic education is provided by way of toolbox talks.  Attendance at in-service education sessions is low.  Registered nurses (RNs) are provided with suitable training.  A competency programme is in place with different requirements according to work type.  </w:t>
            </w:r>
          </w:p>
          <w:p w:rsidR="00EB7645" w:rsidRPr="00BE00C7" w:rsidP="00BE00C7">
            <w:pPr>
              <w:pStyle w:val="OutcomeDescription"/>
              <w:spacing w:before="120" w:after="120"/>
              <w:rPr>
                <w:rFonts w:cs="Arial"/>
                <w:b w:val="0"/>
                <w:lang w:eastAsia="en-NZ"/>
              </w:rPr>
            </w:pPr>
            <w:r w:rsidRPr="00BE00C7">
              <w:rPr>
                <w:rFonts w:cs="Arial"/>
                <w:b w:val="0"/>
                <w:lang w:eastAsia="en-NZ"/>
              </w:rPr>
              <w:t>Seven caregivers work in the dementia unit.  All seven have completed the required dementia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staffing policy aligns with contractual requirements and includes skill mixes.  A report is provided fortnightly from head office that includes hours and whether hours are over and above.  There is a registered nurse and first aid trained member of staff on every shift.  There is an enrolled nurse coordinator in the dementia unit.  Staff interviewed informed there are sufficient staff on duty at all times.  The clinical manger is a registered nurse and works 40 hours per week.</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relatives and residents all confirmed that staffing numbers were good.  Caregivers interviewed stated that they have sufficient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is a medication room for rest home and hospital and one for the dementia unit.  All medications were securely and appropriately stored.  Registered nurses or senior caregivers who have passed their competency, administer medications.  Medication competencies are updated annually and include syringe drivers, sub-cut fluids, blood sugars and oxygen/nebulisers. The service uses robotic packs.  Medication charts have photo IDs.  There is a signed agreement with the pharmacy.  Medications are checked on arrival and any pharmacy errors recorded and fed back to the supplying pharmacy.  There is a list of standing order medications that have been approved by the GPs.  Staff sign for the administration of medications on medication sheets held with the medicines and this was documented and up-to-date in all ten medication signing sheets reviewed.  The medication folders include a list of specimen signatures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profiles reviewed were legible, up-to-date and reviewed at least three monthly by the GP.  All ten medication charts reviewed have ‘as needed’ medications prescribed with an individualised indication for use.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one cook and one relieving cook.  Both have completed food safety training, and continue to provide well cooked meals to each of the service units.  There is a well equipped kitchen and all meals are cooked onsite.  There is a dining room for rest home and hospital residents next to the kitchen.  Meals are plated and delivered to the dementia unit.  On the day audit, meals were observed to be hot and well presented.  There is a kitchen manual and a range of policies and procedures to safely manage the kitchen and meal services.  Audits are implemented to monitor performance.  Kitchen fridge, food and freezer temperatures were monitored and documented daily and daily in other areas, and these were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were noted on the kitchen noticeboard, which can be viewed only by kitchen staff. The national menus have been audited and approved by an external dietitian.  Residents and the family interviews indicated they were very happy with meals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there are additional nutritious snacks available over 24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(three), the clinical manager and the RN interviewed state there is adequate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five residents (two rest home and two residents with more than one wound in the dementia unit).  One rest home resident has three pressure areas.  All residents with wounds have appropriate care documented and provided, including pressure-relieving equipment.  Access to specialist advice and support is available as needed.  Care plans documented allied health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day the service allocates a ‘resident of the day’.  This resident has their choice of meal/special treat and the staff use this day to assist the resident to check and ensure their room is ‘spring cleaned’ (such as checking all clothes are labelled).  This initiative is appreciated by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review of incident and accident forms (eight) documented that whist neurological observations are documented for post-unwitnessed fall and/or blow to the head, the observation was not undertaken according to Bupa timeframes.  The documentation of enablers in the care plan and monitoring its use, was not always documented.</w:t>
            </w:r>
          </w:p>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documented pain monitoring and interventions as needed, this is an improvement on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works 30 hours per week.  The activities coordinator provides activities in the hospital and rest home and plans activities for the dementia unit, most of which are run by the enrolled nurse and caregivers.  The YPD resident has access to the community and is supported to maintain safe access to the community and family.</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person has developed a resource file, this resource includes service information, access criteria and locations for a wide range of services (examples include the stroke foundation and Māori groups).  The activities person uses this file to assist residents and families to link to appropriate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has completed dementia unit standards.  On the day of audit, residents in all areas were observed being actively involved with a variety of activities.  The residents in the dementia unit were engaged and active on the day of audit.  The Bupa activities programme template is designed for high-end and low-end cognitive functions and caters for the individual needs.  The programme is developed monthly and displayed in large print.  Residents have a complete assessment completed over the first few weeks after admission obtaining a complete history of past and present interests, career, family etc.  Resident files reviewed, identified that the individual activity plan is reviewed at least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evaluations were documented by the registered nurses in the files sampled.  Six monthly multi-disciplinary reviews (MDT) were completed by the registered nurse with input from caregivers, the GP, the activities coordinator and if applicable, the physiotherapist.  Family are invited to attend the MDT review.  Files sampled also had short-term care plans available to focus on acute and short-term issues.  These were evaluated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building warrant of fitness displayed expiring 1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The IC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IC coordinator.  Definitions of infections are in place appropriate to the complexity of service provided.  Infection control data is collated monthly and reported at the quality, and infection control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The process of assessment and evaluation of enabler use is the same as a restraint and included in the policy.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with restraint in the service.  There were two hospital-level residents with an enabler.  Files for residents with enablers showed that enabler use is voluntary.  (Link to 1.3.6.1 for monitoring and care plan interventions).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66"/>
        <w:gridCol w:w="1280"/>
        <w:gridCol w:w="3729"/>
        <w:gridCol w:w="4516"/>
        <w:gridCol w:w="24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variety of appropriate in-service education has been provided, which, if sufficient staff attended, would meet all requirements.  In addition to formal education, short ‘toolbox’ talks are provided for staff on topical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attendance numbers are very low, meaning insufficient staff have completed required trainings.  For example, for falls training, observation training and food services, training less than 50 % of staff attended.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receive sufficient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care plans were reviewed.  All residents have resident focussed care plans in place, all care plans had been updated as resident needs changed.  One family member and five residents (including one YPD resident) agreed that the clinical care is good and that they are involved in the care planning.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with an unwitnessed fall and one resident had a documented head injury.  Both had neurological observation documented for a short while (up to two hours) but not according to the Bupa timeframes; and ii) one resident with an enabler had this documented in the care plan but not the risks associated with its use.  Monitoring for the enabler was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clinical observations and monitoring are documented according to Bupa policies and best practice; and ii) ensure that the risks associated with enablers are documented in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Glengarry Rest Home &amp; Hospital</w:t>
    </w:r>
    <w:bookmarkEnd w:id="58"/>
    <w:r>
      <w:rPr>
        <w:rFonts w:cs="Arial"/>
        <w:sz w:val="16"/>
        <w:szCs w:val="20"/>
      </w:rPr>
      <w:tab/>
      <w:t xml:space="preserve">Date of Audit: </w:t>
    </w:r>
    <w:bookmarkStart w:id="59" w:name="AuditStartDate1"/>
    <w:r>
      <w:rPr>
        <w:rFonts w:cs="Arial"/>
        <w:sz w:val="16"/>
        <w:szCs w:val="20"/>
      </w:rPr>
      <w:t>3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