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Shona McFarlane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Shona McFarlane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Shona McFarlane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August 2016</w:t>
      </w:r>
      <w:bookmarkEnd w:id="7"/>
      <w:r w:rsidRPr="009418D4">
        <w:rPr>
          <w:rFonts w:cs="Arial"/>
        </w:rPr>
        <w:tab/>
        <w:t xml:space="preserve">End date: </w:t>
      </w:r>
      <w:bookmarkStart w:id="8" w:name="AuditEndDate"/>
      <w:r w:rsidR="00A4268A">
        <w:rPr>
          <w:rFonts w:cs="Arial"/>
        </w:rPr>
        <w:t>25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Shona McFarlane is part of the Ryman Group of retirement villages and aged care facilities.  Rest home and hospital care level care is provided for up to 79 residents in the care centre. Rest home care is also provided for up to 20 residents in serviced apartments. On the day of audit there were 32 rest home residents including one rest home resident in the serviced apartments and 38 hospital level of care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an experienced non-clinical village manager and experienced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An area for improvement at this audit was identified around the documentation and implementation of interventions.  </w:t>
      </w:r>
    </w:p>
    <w:p w:rsidRPr="00A4268A">
      <w:pPr>
        <w:spacing w:before="240" w:line="276" w:lineRule="auto"/>
        <w:rPr>
          <w:rFonts w:eastAsia="Calibri"/>
        </w:rPr>
      </w:pPr>
      <w:r w:rsidRPr="00A4268A">
        <w:rPr>
          <w:rFonts w:eastAsia="Calibri"/>
        </w:rPr>
        <w:t xml:space="preserve">Continuous improvement ratings have been maintained around quality improvement projects and the engage activity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 (HDC) Code of Health and Disability Services Consumers' Rights (the Code) is readily available to residents and families.  Documentation evidenced open disclosure is practiced.  Complaint processes are being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team at Shona McFarlane is implementing the team Ryman programme that provides the framework for quality and risk management and the provision of clinical care.  Key components of the quality management system link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Shona McFarlane provides clinical indicator data for the two services being provided (hospital and rest home).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and evaluations are completed by the registered nurses.  Care plans demonstrate service integration.  Resident and family interviewed confirmed they were involved in the care plan process and review.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provides an activities engage programme, which is varied, interesting and covers the seven-day week. The engage programme meets the abilities and recreational needs of the group of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clinical manager/restraint coordinator oversees restraint/enabler usage within the facility. The service currently has four residents voluntarily using enablers.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 monthly comparative summary is completed.  The service has had one outbreak since the last audit that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Shona McFarlane.  The village manager has overall responsibility for ensuring all complaints (verbal or written), are fully documented and investigated.  The facility has an up-to-date complaints register.  Concerns and complaints are discussed at relevant meetings.  There have been four complaints made within the last year.  One complaint received at the Health and Disability Commissioner office had been referred back to the facility for investigation.  Investigation notes, follow-up letter and corrective actions were sighted and evidence appropriate complaints management in line with Right 10 of the Code.  Discussion with residents (three rest home and one hospital)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Incidents reviewed on the VCare system met this requirement.  Three family members interviewed (one rest home and two hospital) confirmed they are notified following a change of health status of their family member.  Resident meetings are held two monthly and relative meetings six monthly.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Shona McFarlane Retirement Village is a Ryman Healthcare facility.  The service provides care for up to 79 residents in the care centre at hospital and rest home level of care.  All 79 beds are dual purpose.  There are 20 serviced apartments certified to provide rest home level of care.  On the day of audit, there were 70 residents - 38 hospital level residents and 32 rest home residents, including one rest home resident in serviced apartments and one resident on respite care.  There was one hospital resident under 65 years under a long-term chronic health condition contract.  All other long-term residents were under the ARC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in place.  There is a health and safety, and risk management programme being implemented at Shona McFarlane.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this role four years and has had a total of 18 years with Ryman.  A full-time clinical manager was appointed in June 2015.  She has 19 years clinical/surgical experience and this is her first appointment to aged care.  She is supported by a hospital coordinator who was appointed in September 2015.  The hospital coordinator has worked at Shona McFarlane as a registered nurse (RN) for the last 5 years.  Management are supported by a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attended a two day Ryman conference and leadership programme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Shona McFarlane service continues to implement the teamRyman Programme, which links key components of the quality management system to village operations.  There are full facility teamRyman meetings monthly.  Outcomes from the teamRyman committee are then reported across the various meetings including the full facility, RN and care assistant meetings.  Meeting minutes include discussion about the key components of the quality programme including policy reviews, internal audit, training, complaints, accidents/incidents, infection control and quality improvement plans (QIPs).  Management meetings with the head of departments are held weekly.  Health and safety and infection control meetings are held three 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was last completed in February 2016 and relative survey March 2016.  Results have been collated with annual comparisons for each service.  Areas of increased resident satisfaction are evident in the results around laundry service, activity programme, care and communication. Results are fed back to the participants at meetings. </w:t>
            </w:r>
          </w:p>
          <w:p w:rsidR="00EB7645" w:rsidRPr="00BE00C7" w:rsidP="00BE00C7">
            <w:pPr>
              <w:pStyle w:val="OutcomeDescription"/>
              <w:spacing w:before="120" w:after="120"/>
              <w:rPr>
                <w:rFonts w:cs="Arial"/>
                <w:b w:val="0"/>
                <w:lang w:eastAsia="en-NZ"/>
              </w:rPr>
            </w:pPr>
            <w:r w:rsidRPr="00BE00C7">
              <w:rPr>
                <w:rFonts w:cs="Arial"/>
                <w:b w:val="0"/>
                <w:lang w:eastAsia="en-NZ"/>
              </w:rPr>
              <w:t>TeamRyman has an annual internal audit schedule that has been implemented at Shona McFarlane.  Internal audit summaries and quality improvement plans (QIPs) are completed where a noncompliance is identified (&lt;90%). Issues and outcomes are reported to the appropriate committee (eg, health and safety).  QIPs reviewed are seen to have been closed-out once resolved.  The service has maintained a continuous quality improvement focus and has exceeded the standard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clinical indicator data is collated across the care centre (including any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The service has nominated a new health and safety officer who has been in the role six weeks.  The health and safety officer has attended a health and safety training course including an update to the new legislation.  The combined health and safety and infection control committee meet bi-monthly and incidents/accidents and infections are reviewed, discussed and documented.  There is a current hazard register.  The service has completed a self-assessment for tertiary level of the ACC workplace safer management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monthly incident and accident data and completes electronic recording of events on the VCare system.  Monthly analysis of incidents by type is undertaken and is reported to the various staff meetings.  Data is linked to the organisation's benchmarking programme and used for comparative purposes.  Quality improvement plans have been created when the number of incidents exceeded the benchmark.  Ten accident incident forms reviewed (four hospital and five rest home) identified timely RN assessment and post falls assessments where required.  Quality improvement plans (QIPs) were seen to have been actioned and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were aware of the requirement to notify relevant authorities in relation to essential notifications.  There has been one notification to public health and the DHB in August 2015 for an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There are job descriptions for designated officers.  Appropriate recruitment documentation was seen in the eight staff files (one rest home coordinator/registered nurse (RN), one clinical leader/RN, two RNs and three caregivers and one health and safety officer) reviewed.  Performance appraisals are current in all files reviewed.  Interview with five caregivers inform that management are supportive and responsive.  All newly appointed staff complete general induction and role specific orientation followed by an eight-week assessment.  A register of current practising certificates is maintained for RNs and all allied health professionals involved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is being implemented aligned with the teamRyman programme.  Individual staff comprehension surveys are completed to ensure the education content has been understood.  Ryman ensures RNs are supported to maintain their professional competency including attending the journal club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A fulltime clinical manager oversees the care centre and is supported by a fulltime hospital coordinator.  There is at least one RN and first aid trained member of staff on every shift.  There are sufficient caregivers on duty to provide care within a safe and timely manner.  There is a full time serviced apartment coordinator (enrolled nurse) on day duty with a caregiver on the afternoon shift.  The hospital RN oversees the serviced apartments at night.  Caregivers interviewed advised that the RNs are supportive and approachable.  In addition, they reported there are sufficient staff on duty at all times.  Interviews with residents and relatives indicated there are generally sufficient staff to meet resident needs.  The village manager (non-clinical) and clinical manager/RN work full time and are on call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Medicine management complies with ministry of health medication requirements.  Medication reconciliation is completed by clinical manager/RN on delivery of medication and any errors fed back to pharmacy.  Registered nurses and senior caregivers (in the serviced apartments) who administer medications have been assessed for competency on an annual basis.  Registered nurses and caregivers interviewed were able to describe their role in regard to medicine administration.  Education around safe medication administration has been provided.  Medications were stored safely.  Medication fridges were monitored weekly.  Hospital emergency stock have expiry dates checked regularly.  Standing orders are not used.  The service uses an electronic medication system.  There were no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hospital and four rest home medication orders were reviewed on the electronic medication system.  Two paper-based medication charts (including one respite care resident) were also reviewed.  All medication charts reviewed met legislative prescribing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chef is supported by cook and kitchen assistants.  All staff have been trained in food safety and chemical safety and complete questionnaires.  There is an organisational four weekly seasonal menu that had been designed in consultation with the chef and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vegetarian, pureed/soft and gluten free are provided.  Two evening options are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All foods were correctly stored and date labelled.  A cleaning schedule is maintained.  Feedback on the service is received from daily resident contact,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Two of six resident care plans reviewed reflected the resident’s current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VCare wound assessments, treatment and evaluations were in place for all wounds including three chronic ulcers, skin tears and five pressure injuries (three facility acquired and two community acquired).  Adequate dressing supplies were sighted in the treatment rooms.  The wound care champion for the service provides advice and support to RNs and reviews wounds weekly.  There is access to the DHB wound nurse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six activities coordinators including two qualified diversional therapists (DT) and four in training who implement the engage programme over seven days. The team attend on-site and organisational in-service relevant to their roles.  All activities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The service has continued to maintain their continuous improvement rating around activities.  There are adequate resources available.  Residents receive programmes in their rooms.  Daily contact is made with residents who choose not to be involved in the activity programme.  Community links include visiting schools, churches, pet therapy, entertainers and visits into the community.  The service has a van for outings and hires a mobility taxi for hospital residents in wheelchairs.  Regular interdenominational church services are held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care plans of long-term residents had been evaluated by registered nurses six monthly.  One rest home resident had not been at the service six months and one resident was for respite care.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 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8 March 2017.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well maintained with a refurbishment plan in place.  On the day of audit, there were contractors on site repainting some areas and carpets being replaced.  All areas were safe and cordoned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 (clinical manager)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(link CI 1.2.3.7).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There is organisational benchmarking. </w:t>
            </w:r>
          </w:p>
          <w:p w:rsidR="00EB7645" w:rsidRPr="00BE00C7" w:rsidP="00BE00C7">
            <w:pPr>
              <w:pStyle w:val="OutcomeDescription"/>
              <w:spacing w:before="120" w:after="120"/>
              <w:rPr>
                <w:rFonts w:cs="Arial"/>
                <w:b w:val="0"/>
                <w:lang w:eastAsia="en-NZ"/>
              </w:rPr>
            </w:pPr>
            <w:r w:rsidRPr="00BE00C7">
              <w:rPr>
                <w:rFonts w:cs="Arial"/>
                <w:b w:val="0"/>
                <w:lang w:eastAsia="en-NZ"/>
              </w:rPr>
              <w:t>A confirmed norovirus outbreak August 2015 was well managed and included a debrief meeting with the public health officer to review overall management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policy is in place that states the organisations philosophy to restraint minimisation.  There is a documented definition of restraint and enablers, which is congruent with the definition in NZS 8134.0.  The policy identifies that restraint is used as a last resort.  The organisation is aiming to remain restraint free. On the day of audit there were four hospital residents using enablers (two with lap belts, one with bedrails and one with lap belt and bedrail).  There were no residents with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Voluntary consent and an assessment process had been completed for enabler.  The enabler is linked to the resident’s care plan and is reviewed six monthly.  The clinical manager is the restraint coordinator.  Staff have been provided with restraint and challenging behaviour education.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1"/>
        <w:gridCol w:w="1280"/>
        <w:gridCol w:w="2563"/>
        <w:gridCol w:w="6470"/>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describe the nursing interventions required to meet the residents needs/supports.  Two care plans of rest home residents had been updated to reflect the resident’s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care plan of one hospital resident did not record the presence of a pressure injury.  Dietitian recommendations had not been updated on the care plan or implemented (link 1.3.3 hospital tracer); 2) blood sugar levels had not been consistently taken as instructed for a rest home resident; 3) weekly weights had not been taken as instructed in long-term care plan for a hospital resident; and 4) the long-term care plan of a hospital resident did not identify previous weight loss and current nutritional status (at risk of malnutrition).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updated to reflect the resident’s current needs/supports and nursing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667"/>
        <w:gridCol w:w="5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Shona McFarlane service has reviewed its 2015 objectives.  The 2016 quality objectives include ongoing goals from 2015 (based on clinical data) for example to reduce falls, pressure injuries and urinary tract infections and maintain a restraint free environment.  The service identified an ongoing area for improvement through resident meetings and surveys in regards to the food service. The QIP process has been used to plan and evaluate progress towards each objective.  Catch phrases have been developed for each objective such as “smells good, tastes good = satisfied residents” and “how low can we go” (falls reduction).  Progress towards objectives was seen to have been discussed at the various staff meetings.  Two of the 2016 objectives have been evaluated to date and considered to have been met around reduction of falls in the hospital residents and reduction of urinary tract infections.  Other objectives remaining will continue through the 2016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maintained its continuous improvement rating with ongoing quality projects.  Three projects have been evaluated and evidence the service has achieved the desired results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“How low can we go” project was implemented November 2015 and evaluated March 2016. The service implemented strategies to manage falls and reduce rates to four or below falls per 1000 bed nights, in line with Ryman clinical indicator for falls.  The action plan included (but not limited to); education of staff, physiotherapy assessments, use of “traffic light system”, mobility guides in bedrooms, analysis of trends, times and location of falls, appointment of lounge carer role, hydration of residents, regular toileting regimes, intentional rounding, sensor mats, wider beds as available and rest areas within the facility.  Prior to the project falls peaked at 14 per 1000 bed nights in the hospital, dropping to 6 per 1000 bed nights in June 2016.  The current falls data is within the Ryman clinical indictors.  The project is ongoing for the reduction of falls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The service identified a need to reduce urinary tract infections (UTI).  Thirteen UTIs (seven rest home and six hospital residents) were reported in May 2016.  Preventative measures were put in place such as adequate hydration and early identification of UTI signs and symptoms.  Discussion and informal education occurred at handovers. Disposable wipes were purchased and trialled.  Within one month, the UTI rate had dropped to one resident with a UTI in the rest home and one resident with UTI in the hospital.  The project will continue to ensure low UTI rates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“Smells good, tastes good, looks good = satisfied residents”.  This project commenced following success with the “dining with dignity” project in January 2015.  The service has maintained continual improvement in food services with the implementation of the following: Management team join the residents monthly for meals to observe; listen and taste food, meals are delivered in hotbox trolley to ensure meals are delivered at an acceptable temperature for residents; chefs rotate serving meals in the dining rooms and review of the feedback book at weekly meetings with management.  The 2016 resident survey evidences and increase in resident satisfaction around food services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offered in the rest home and hospital wings seven days a week.  Residents have a choice of activities to attend in the rest home or hospital lounges.  The engage programme has been fully embedded.  Residents and relatives interviewed commented positively about the activities provided.  There are a number of “village friends” (volunteers) who are involved in the programme including one-on-one visits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provides a wide variety of activities both in the rest home and hospital.  Activities were observed to be happening simultaneously in the rest home and hospital wings.  Residents have the opportunity to attend either session.  Residents (interviewed) stated they are involved in the programme and share ideas for activities, entertainment and outings. They especially enjoy the pet therapy sessions and variety of entertainers.  There has been an increase in resident satisfaction around activities as evidenced in the results of the 2016 resident satisfaction survey.  Attendance at activities has increased in the hospital from 739 in November 2015 to 1051 April 2016.  In the rest home, attendance at activities was 1285 in November 2015 to 1653 in April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Shona McFarlane Retirement Village Limited</w:t>
    </w:r>
    <w:bookmarkEnd w:id="58"/>
    <w:r>
      <w:rPr>
        <w:rFonts w:cs="Arial"/>
        <w:sz w:val="16"/>
        <w:szCs w:val="20"/>
      </w:rPr>
      <w:tab/>
      <w:t xml:space="preserve">Date of Audit: </w:t>
    </w:r>
    <w:bookmarkStart w:id="59" w:name="AuditStartDate1"/>
    <w:r>
      <w:rPr>
        <w:rFonts w:cs="Arial"/>
        <w:sz w:val="16"/>
        <w:szCs w:val="20"/>
      </w:rPr>
      <w:t>24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