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Ativas Limited - Cairnfield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Ativas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Cairnfield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August 2016</w:t>
      </w:r>
      <w:bookmarkEnd w:id="7"/>
      <w:r w:rsidRPr="009418D4">
        <w:rPr>
          <w:rFonts w:cs="Arial"/>
        </w:rPr>
        <w:tab/>
        <w:t xml:space="preserve">End date: </w:t>
      </w:r>
      <w:bookmarkStart w:id="8" w:name="AuditEndDate"/>
      <w:r w:rsidR="00A4268A">
        <w:rPr>
          <w:rFonts w:cs="Arial"/>
        </w:rPr>
        <w:t>12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Adding medical component to hospital level services.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Cairnfield House provides rest home and hospital level care for up to 67 residents and on the day of the audit, there were 67 residents.  A facility manager manages the service.  The residents and relatives interviewed all spoke positively about the care and support provided.  </w:t>
      </w:r>
    </w:p>
    <w:p w:rsidRPr="00A4268A">
      <w:pPr>
        <w:spacing w:before="240" w:line="276" w:lineRule="auto"/>
        <w:rPr>
          <w:rFonts w:eastAsia="Calibri"/>
        </w:rPr>
      </w:pPr>
      <w:r w:rsidRPr="00A4268A">
        <w:rPr>
          <w:rFonts w:eastAsia="Calibri"/>
        </w:rPr>
        <w:t>The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  The service has also been verified, as part of this audit, as suitable to provide medical services under their hospital certification.</w:t>
      </w:r>
    </w:p>
    <w:p w:rsidRPr="00A4268A">
      <w:pPr>
        <w:spacing w:before="240" w:line="276" w:lineRule="auto"/>
        <w:rPr>
          <w:rFonts w:eastAsia="Calibri"/>
        </w:rPr>
      </w:pPr>
      <w:r w:rsidRPr="00A4268A">
        <w:rPr>
          <w:rFonts w:eastAsia="Calibri"/>
        </w:rPr>
        <w:t>The service has addressed 10 of 13 findings from the previous certification audit around implementing corrective actions, staffing of additional hospital level beds, back-up of electronic data, integrated residents’ files, admission agreements, care plans, evaluations, activities, medication management, food allergies and menu reviews.</w:t>
      </w:r>
    </w:p>
    <w:p w:rsidRPr="00A4268A">
      <w:pPr>
        <w:spacing w:before="240" w:line="276" w:lineRule="auto"/>
        <w:rPr>
          <w:rFonts w:eastAsia="Calibri"/>
        </w:rPr>
      </w:pPr>
      <w:r w:rsidRPr="00A4268A">
        <w:rPr>
          <w:rFonts w:eastAsia="Calibri"/>
        </w:rPr>
        <w:t>Further improvements are required around open disclosure, analysis and communication of data, and interventions.</w:t>
      </w:r>
    </w:p>
    <w:p w:rsidRPr="00A4268A">
      <w:pPr>
        <w:spacing w:before="240" w:line="276" w:lineRule="auto"/>
        <w:rPr>
          <w:rFonts w:eastAsia="Calibri"/>
        </w:rPr>
      </w:pPr>
      <w:r w:rsidRPr="00A4268A">
        <w:rPr>
          <w:rFonts w:eastAsia="Calibri"/>
        </w:rPr>
        <w:t xml:space="preserve">This surveillance audit identified that no additional improvements are required.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Business goals are documented for the service with evidence of regular reviews.  A system is in place for the collection of quality and risk data.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and education and training, is provided for staff.</w:t>
      </w:r>
    </w:p>
    <w:p w:rsidRPr="00A4268A">
      <w:pPr>
        <w:spacing w:before="240" w:line="276" w:lineRule="auto"/>
        <w:rPr>
          <w:rFonts w:eastAsia="Calibri"/>
        </w:rPr>
      </w:pPr>
      <w:r w:rsidRPr="00A4268A">
        <w:rPr>
          <w:rFonts w:eastAsia="Calibri"/>
        </w:rPr>
        <w:t>Registered nursing cover is provided 24 hours a day, seven days a week.  Residents report staffing levels are adequate to meet their needs.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There is information gained through the initial support plans, specific assessments, discharge summaries, and the care plans to guide staff in the safe delivery of care to residents.  The care plans are resident and goal orientated and reviewed every six months or earlier if required with input from the resident/family as appropriate.  Files sampled identified integration of allied health and a team approach was evident in the overall residents’ files.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coordinators implement the activity programme to meet the individual needs, preferences and abilities of the residents.  Community links are maintained.  There are regular entertainers, outings, and celebrations.  </w:t>
      </w:r>
    </w:p>
    <w:p w:rsidRPr="00A4268A" w:rsidP="00621629">
      <w:pPr>
        <w:spacing w:before="240" w:line="276" w:lineRule="auto"/>
        <w:rPr>
          <w:rFonts w:eastAsia="Calibri"/>
        </w:rPr>
      </w:pPr>
      <w:r w:rsidRPr="00A4268A">
        <w:rPr>
          <w:rFonts w:eastAsia="Calibri"/>
        </w:rPr>
        <w:t xml:space="preserve">All staff who administer medications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are cooked on site.  Snacks are available.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restraint coordinator maintains a register.  The service had two residents using an enabler and no residents with restraint.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organisation.  Results of surveillance are acted upon, and evaluated.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forms are available at the entrance to the facility.  Discussions with seven residents (five rest home and two hospital) and three families confirmed they were provided with information on the complaints process during their entry to the service.  Residents and families also confirmed that they are comfortable speaking with the facility manager and/or clinical manager if they have a concern and that any issue raised is addressed promptly.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family during the resident’s entry to the service.  The facility manager maintains a record of all complaints using a complaints’ register.  Six complaints have been lodged in the register for 2016 (year to date).  Complaints are signed off by the facility manager when resolved.  One complaint received included input and mediation from the Health and Disability Advocacy Service (link to finding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and open disclosure identify staffs’ responsibility to notify family/next of kin of any accident/incident that occurs.  Evidence of communication with family/whānau is recorded on the accident/incident form and in the residents’ progress notes.  Not all accident and incident forms and progress notes reviewed across the rest home and hospital identified that family were kept informed.  This previous area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Three family (one with family in the rest home and two with family in the hospital) interviewed, stated that they are kept informed when their family member’s health status changes or in the event of an accident/incident.</w:t>
            </w:r>
          </w:p>
          <w:p w:rsidR="00EB7645" w:rsidRPr="00BE00C7" w:rsidP="00BE00C7">
            <w:pPr>
              <w:pStyle w:val="OutcomeDescription"/>
              <w:spacing w:before="120" w:after="120"/>
              <w:rPr>
                <w:rFonts w:cs="Arial"/>
                <w:b w:val="0"/>
                <w:lang w:eastAsia="en-NZ"/>
              </w:rPr>
            </w:pPr>
            <w:r w:rsidRPr="00BE00C7">
              <w:rPr>
                <w:rFonts w:cs="Arial"/>
                <w:b w:val="0"/>
                <w:lang w:eastAsia="en-NZ"/>
              </w:rPr>
              <w:t>There are contact details of available interpreters.  Staff and family assist, as they are able.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Ativis Limited and is managed by a facility manager.  Care is provided for up to 67 residents across rest home and hospital levels of care with 40 dual-purpose beds.  On the day of audit, there were 67 residents (33 rest home level residents and 34 hospital level residents).  Seven rest home level residents were in dual-purpose beds and six residents were in double rooms.  There was one resident (rest home level) on an ACC contract and one (hospital level) resident on the young persons with disability (YPD) contract.  The remaining residents were on the aged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requesting that the medical component be added to their certificate.  This audit verified that the service has appropriate processes, facilities and staffing to provide hospital - medical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Plans to add a new (20-bed) hospital level wing to the facility are not yet finalised.  The facility manager reported that the plans have been modified following input from the DHB portfolio manager.  As a result, a second lounge/dining area and ramp access to the outdoor area has been added to the drawings.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maintains an onsite office and is present most days, although was not available during the audit.  There is a business plan for 2016 that outlines objectives and actions.  The purpose, values, scope, direction, and goals of the organisation are identified and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diversional therapist who commenced employment at Cairnfield House over 20 years ago as a healthcare assistant and has progressed through various roles at the facility since this time.  She was appointed to the role of facility manager in September 2013.  The owner and a clinical manager, who is a registered nurse (RN) with a current practising certificate and experience in aged care, support her.  The facility manager and the clinical manager have maintained at least eight hours annually of professional development activities related to managing an aged residential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being implemented.  Policies,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ensures policies and procedures are regularly reviewed.  Policies are reviewed two yearly unless changes occur more frequently.  Policies and procedures have been updated to include reference to InterRAI for an aged care service and current health and safety requirements.  New policies or changes to policy are communicated to staff.  Interviews with the facility manager, clinical manager/RN and staff (four healthcare assistants, one registered nurse, one cook, one activities coordinator) reflected their understanding of the quality and risk management systems that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for adverse events including falls and skin tears, pressure injuries (if any), and infections.  Results of quality data that has been collated, trended and analysed is not regularly communicated to staff.  A resident survey and a family satisfaction survey were completed in March 2016.  Survey results have not been collated and analysed.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documented in the audit schedule.  Corrective actions are documented on a corrective action form, where internal audits identify opportunities for improvements and are signed off when implemented.  These are improvements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use of sensor mats and implementing strategies for frequent fallers.  An additional healthcare assistant was recently employed to work the night shift.  This has resulted in a reduction in the number of falls during the night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legislative requirements.  Hazard identification forms and a hazard register evidence the three-monthly monitoring of hazard controls.  Staff education, which begins during their induction to the service, includes the topic of health and safety.  Health and safety representatives have undergone stage three and transitional health and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including any follow-up action(s) required.  Incident/accident data is linked to the organisation's quality and risk management programme and is used for comparative purposes (link to finding 1.2.3.6).  Twenty accident/incident forms were reviewed.  Each event involving a resident reflected a clinical assessment and follow-up by a registered nurse.  Neurological observations are undertaken if there is a suspected injury to the resident’s head.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interviewed were aware of their responsibility to notify relevant authorities in relation to essential notifications.  This had not been required since their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address recruitment, orientation and staff training and development.  Five staff files that were randomly selected for review (three HCAs, two registered nurses) included evidence of the recruitment process including police vetting,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  Current annual practising certificates were sighted for the registered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that exceeds eight hours per annum.  Careerforce education and training is undertaken by the HCAs.  Education and training for registered nursing (RN) staff is supported by the DHB.  In-service education topics specifically address palliative cares, and younger persons with a disability.  Five of nine RNs have completed their InterRAI training and three are on the waiting list.  Competency assessments are in place.  Two yearly chemical safety training is in place with evidence of the kitchen staff and cleaning staff attending.  Pressure injury prevention management training was last undertaken in 2014 and is on the schedule for September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plan is documented for the service.  This is an improvement from the previous audit.  The staffing levels meet contractual requirements.  The clinical manager is a registered nurse who is available during weekdays.  On-site RN cover is provided 24 hours a day, seven days a week.  Sufficient numbers of HCAs supports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A robust system is in place for the backup of electronic data.  A new server has been installed and all data is stored using cloud-based technology.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Information relating to residents is no longer being retained on the clinical manager’s hard drive.  All documentation pertaining to each resident is held in the residents’ hard copy files.  This is also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There is an information pack available for residents/family at entry.  The admission agreement meets current requirements.  Exclusions from the service are included in the admission agreement.  All admission agreements sighted were signed and dated within an acceptable timeframe.  This previous audit finding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Only inhalers are being self-administered at present.  The residents concerned had signed a consent form and all medicines were stored safely.  There is one medication room.  All medications were securely and appropriately stored.  The facility uses a robotic pack system.  Medication competent registered nurses, enrolled nurses and senior healthcare assistants administer the medications.  Medication competencies are updated annually.  The registered nurses are competent in using Niki T syringe drivers for pain relief and administering oxygen if oxygen therapy is required.  Medication charts have photo IDs.  There is a signed agreement with the pharmacy.  Medications are checked on arrival and any pharmacy errors recorded and fed back to the supplying pharmacy.  Staff sign for the administration of medications on medication sheets held with the medicines and this was documented and up-to-date in all 18 medication signing sheets reviewed.  The medication folders include a list of specimen signatures.  Medication profiles reviewed were legible, up-to-date and reviewed at least three monthly by the GP.  All 18 medication charts reviewed have as needed medications prescribed with an individualised indication for use.  The medication fridge has temperatures recorded weekly and these are within acceptable ranges.  There are no standing orders.  All medication documentation and administration practices meet current legislative requirements and safe practice guidelines as evidenced.  This previous shortfall is now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head cook who works Monday to Friday.  She also prepares the evening meal and the kitchen assistant cooks it.  The second cook works the weekends.  There is a kitchen assistant daily.  All kitchen staff have current food safety certificates.  The head cook is responsible for the procurement of the food and management of the kitchen.  There is a small but well-equipped kitchen and all meals are cooked onsite.  Meals are served from the kitchen, which opens into the dining room.  Residents eating in their rooms have meals delivered on trays with the food covered and kept warm.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Kitchen fridge, food and freezer temperatures were monitored and recorded daily.  The residents have a nutritional profile developed on admission, which identifies dietary requirements and likes and dislikes.  This is reviewed six monthly as part of the care plan review.  Changes to residents’ dietary needs have been communicated to the kitchen.  Special diets were noted on the kitchen noticeboard, which can be viewed only by kitchen staff.  Residents and families interviewed were happy with the meals provided.  Previous shortfalls identified around alerting staff to residents’ food allergies and menus being review by a qualified dietitian have been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risk assessments and long-term care plans reviewed were completed in a comprehensive manner for all files reviewed.  InterRAI assessments and risk assessments are completed on admission and reviewed six monthly as part of the care plan review.  All InterRAI assessments sighted informed the care plans.  Additional assessments for management of behaviour and wound care were appropriately completed according to need.  There was evidence of resident and/or family involvement in all nine files sampled.  The service has addressed this previous audit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care plans reviewed included documentation that meets the needs of the residents, and all care plans had been updated as residents` needs changed.  Monitoring forms are completed as directed in the care plan and have been evaluated and if necessary updated by the RN.  Family members agreed that the clinical care is good and that they are involved in the care planning.  Caregivers and RNs interviewed state there is adequate equipment provided including continence and wound care supplies.  Wound assessment, wound management and evaluation forms are in place.  Wounds are not always being evaluated according to the timeframes on the wound care form.  All wounds have appropriate care documented and provided.  There are currently three skin tears, one ulcer, one lesion, one superficial stage-1 pressure injury and two small surgical wounds.  Access to specialist advice and support is available as needed.  Residents with urinary catheters have catheter care plans.  There are no peg feeds at present but the service can accommodate residents with these requirements.  Care plans document allied health input.  Aspects of the previous shortfalls have been addressed.  Wound care evaluation improvements remain unmet.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one works 28-hours over four days and the other works 20-hours over five days including weekends.  Both have health assistant backgrounds.  On the day of audit, residents were observed being actively involved in the activities programme.  A copy of the programme is in residents' rooms and in large print on a whiteboard.  The activities coordinators have ensured there are a variety of activities, celebrations and outings to suit all residents including all ages and all 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of the resident files sampled had a documented activity plan.  This previous shortfall is now being met by the service.  Residents have an assessment completed over the first few weeks after admission obtaining a complete history of past and present interests, career, family etc.  Resident files reviewed identified that the individual activity plan is reviewed at least six monthly.  Church groups visit weekly and Roman Catholics have communion on a Sunday.  Seasonal events are celebrated.  Residents who prefer to stay in their rooms have one-on-one time, which may involve a chat, hand massage or being read to.  The facility has a van for outings.  Residents may also use mobility taxis to attend recreational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evaluated by the RNs six-monthly or when changes to care occur.  Short-term care plans for short-term needs were evaluated and either resolved or added to the long-term care plan as an ongoing problem.  The multidisciplinary team, the resident and the family are involved in reviews.  There is at least a three monthly review by the GP.  The family members interviewed confirmed they are involved in care planning and reviews.  The previous shortfall around updating care plans to reflect changes in health status have been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programme is appropriate to the size and complexity of the organisation.  Policies and procedures include surveillance procedures and standard definitions.  Surveillance infection data is being collected and analysed, but is not consistently reported at staff meetings or at infection control meetings (link to finding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The education and training programme includes regular in-service training on restraint minimisation.  Interviews with the care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no residents using restraints and two hospital-level residents requesting bedrails as enablers to move safely in bed.  Written consent was provided by both residents for the use of their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91"/>
        <w:gridCol w:w="1280"/>
        <w:gridCol w:w="6638"/>
        <w:gridCol w:w="1928"/>
        <w:gridCol w:w="23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accident/incident forms were randomly selected for the month of May 2016.  Fifteen forms indicated that family had been contacted following an adverse event.  Five of the twenty accident/incident forms for three residents stated family did not wish to be kept informed following an adverse event.  This information could not be verified in the corresponding residents’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fifteen accident/incident forms reflected that family did not wish to be contacted following a minor adverse event.  This information could not be verified in the residents’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 family do not wish to be kept informed, ensure that these instructions can be substantiated in the residents’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evaluated and analysed, although due to staffing changes, the March 2016 satisfaction surveys for residents and for families have not been collated or analysed.  Meeting minutes and information posted in the staff room fail to indicate results being communicated to staff.  The facility manager reported that due to staffing, the resident and family satisfaction survey had not been collated or evaluated.  She also reported that one concern documented on a satisfaction survey might have eliminated the need for the resident to contact the HDC advocacy service, if survey results had been reviewed earlier.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Quality data results (eg, falls, infections, skin tears) are not routinely shared with staff; and ii) satisfaction survey results have not been collated and actioned.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results in quality data are communicated regularly to staff; and ii) ensure that satisfaction surveys are promptly collated, evaluated and actioned in order to address any concerns identified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Wound management is clearly documented but wound evaluation is often not evaluated according to the timeframes on the wound care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Wounds are not being evaluated according to the timeframe on the wound care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wounds are being evaluated according to the timeframe on the wound care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Ativas Limited - Cairnfield House</w:t>
    </w:r>
    <w:bookmarkEnd w:id="58"/>
    <w:r>
      <w:rPr>
        <w:rFonts w:cs="Arial"/>
        <w:sz w:val="16"/>
        <w:szCs w:val="20"/>
      </w:rPr>
      <w:tab/>
      <w:t xml:space="preserve">Date of Audit: </w:t>
    </w:r>
    <w:bookmarkStart w:id="59" w:name="AuditStartDate1"/>
    <w:r>
      <w:rPr>
        <w:rFonts w:cs="Arial"/>
        <w:sz w:val="16"/>
        <w:szCs w:val="20"/>
      </w:rPr>
      <w:t>12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